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Роскомнадзора от 18.12.2018 N 201</w:t>
              <w:br/>
              <w:t xml:space="preserve">(ред. от 17.02.2020)</w:t>
              <w:br/>
              <w:t xml:space="preserve">"Об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br/>
              <w:t xml:space="preserve">(Зарегистрировано в Минюсте России 01.04.2019 N 54230)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 апреля 2019 г. N 54230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декабря 2018 г. N 201</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ФЕДЕРАЛЬНОЙ СЛУЖБОЙ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ГОСУДАРСТВЕННОЙ УСЛУГИ ПО ВЫДАЧЕ РАЗРЕШЕНИЙ НА СУДОВЫЕ</w:t>
      </w:r>
    </w:p>
    <w:p>
      <w:pPr>
        <w:pStyle w:val="2"/>
        <w:jc w:val="center"/>
      </w:pPr>
      <w:r>
        <w:rPr>
          <w:sz w:val="20"/>
        </w:rPr>
        <w:t xml:space="preserve">РАДИОСТАНЦИИ, ИСПОЛЬЗУЕМЫЕ НА МОРСКИХ СУДАХ, СУДАХ</w:t>
      </w:r>
    </w:p>
    <w:p>
      <w:pPr>
        <w:pStyle w:val="2"/>
        <w:jc w:val="center"/>
      </w:pPr>
      <w:r>
        <w:rPr>
          <w:sz w:val="20"/>
        </w:rPr>
        <w:t xml:space="preserve">ВНУТРЕННЕГО ПЛАВАНИЯ И СУДАХ СМЕШАННОГО</w:t>
      </w:r>
    </w:p>
    <w:p>
      <w:pPr>
        <w:pStyle w:val="2"/>
        <w:jc w:val="center"/>
      </w:pPr>
      <w:r>
        <w:rPr>
          <w:sz w:val="20"/>
        </w:rPr>
        <w:t xml:space="preserve">(РЕКА-МОРЕ) ПЛАВАНИЯ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color w:val="392c69"/>
              </w:rPr>
              <w:t xml:space="preserve"> Роскомнадзора от 17.02.2020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w:history="0" r:id="rId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подпунктом 5.5.4 пункта 5</w:t>
        </w:r>
      </w:hyperlink>
      <w:r>
        <w:rPr>
          <w:sz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pPr>
        <w:pStyle w:val="0"/>
        <w:spacing w:before="200" w:line-rule="auto"/>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pPr>
        <w:pStyle w:val="0"/>
        <w:spacing w:before="200" w:line-rule="auto"/>
        <w:ind w:firstLine="540"/>
        <w:jc w:val="both"/>
      </w:pPr>
      <w:r>
        <w:rPr>
          <w:sz w:val="20"/>
        </w:rPr>
        <w:t xml:space="preserve">2. Направить настоящий приказ на государственную регистрацию в Министерство юстиции Российской Федерации.</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А.А.ЖАРОВ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Роскомнадзора</w:t>
      </w:r>
    </w:p>
    <w:p>
      <w:pPr>
        <w:pStyle w:val="0"/>
        <w:jc w:val="right"/>
      </w:pPr>
      <w:r>
        <w:rPr>
          <w:sz w:val="20"/>
        </w:rPr>
        <w:t xml:space="preserve">от 18.12.2018 N 201</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ФЕДЕРАЛЬНОЙ СЛУЖБОЙ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ГОСУДАРСТВЕННОЙ УСЛУГИ ПО ВЫДАЧЕ РАЗРЕШЕНИЙ НА СУДОВЫЕ</w:t>
      </w:r>
    </w:p>
    <w:p>
      <w:pPr>
        <w:pStyle w:val="2"/>
        <w:jc w:val="center"/>
      </w:pPr>
      <w:r>
        <w:rPr>
          <w:sz w:val="20"/>
        </w:rPr>
        <w:t xml:space="preserve">РАДИОСТАНЦИИ, ИСПОЛЬЗУЕМЫЕ НА МОРСКИХ СУДАХ, СУДАХ</w:t>
      </w:r>
    </w:p>
    <w:p>
      <w:pPr>
        <w:pStyle w:val="2"/>
        <w:jc w:val="center"/>
      </w:pPr>
      <w:r>
        <w:rPr>
          <w:sz w:val="20"/>
        </w:rPr>
        <w:t xml:space="preserve">ВНУТРЕННЕГО ПЛАВАНИЯ И СУДАХ СМЕШАННОГО</w:t>
      </w:r>
    </w:p>
    <w:p>
      <w:pPr>
        <w:pStyle w:val="2"/>
        <w:jc w:val="center"/>
      </w:pPr>
      <w:r>
        <w:rPr>
          <w:sz w:val="20"/>
        </w:rPr>
        <w:t xml:space="preserve">(РЕКА-МОРЕ) ПЛАВАНИЯ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color w:val="392c69"/>
              </w:rPr>
              <w:t xml:space="preserve"> Роскомнадзора от 17.02.2020 N 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3. Справочная информация включает в себя следующую информацию:</w:t>
      </w:r>
    </w:p>
    <w:p>
      <w:pPr>
        <w:pStyle w:val="0"/>
        <w:spacing w:before="200" w:line-rule="auto"/>
        <w:ind w:firstLine="540"/>
        <w:jc w:val="both"/>
      </w:pPr>
      <w:r>
        <w:rPr>
          <w:sz w:val="20"/>
        </w:rPr>
        <w:t xml:space="preserve">1) место нахождения и график работы территориальных органов Роскомнадзора;</w:t>
      </w:r>
    </w:p>
    <w:p>
      <w:pPr>
        <w:pStyle w:val="0"/>
        <w:spacing w:before="200" w:line-rule="auto"/>
        <w:ind w:firstLine="540"/>
        <w:jc w:val="both"/>
      </w:pPr>
      <w:r>
        <w:rPr>
          <w:sz w:val="20"/>
        </w:rPr>
        <w:t xml:space="preserve">2) справочные телефоны Роскомнадзора, территориальных органов Роскомнадзора, в том числе номер телефона-автоинформатора;</w:t>
      </w:r>
    </w:p>
    <w:p>
      <w:pPr>
        <w:pStyle w:val="0"/>
        <w:spacing w:before="200" w:line-rule="auto"/>
        <w:ind w:firstLine="540"/>
        <w:jc w:val="both"/>
      </w:pPr>
      <w:r>
        <w:rPr>
          <w:sz w:val="20"/>
        </w:rPr>
        <w:t xml:space="preserve">3) адрес официального сайта Роскомнадзора </w:t>
      </w:r>
      <w:r>
        <w:rPr>
          <w:sz w:val="20"/>
        </w:rPr>
        <w:t xml:space="preserve">http://www.rkn.gov.ru</w:t>
      </w:r>
      <w:r>
        <w:rPr>
          <w:sz w:val="20"/>
        </w:rPr>
        <w:t xml:space="preserve">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pPr>
        <w:pStyle w:val="0"/>
        <w:spacing w:before="200" w:line-rule="auto"/>
        <w:ind w:firstLine="540"/>
        <w:jc w:val="both"/>
      </w:pPr>
      <w:r>
        <w:rPr>
          <w:sz w:val="20"/>
        </w:rPr>
        <w:t xml:space="preserve">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pPr>
        <w:pStyle w:val="0"/>
        <w:spacing w:before="200" w:line-rule="auto"/>
        <w:ind w:firstLine="540"/>
        <w:jc w:val="both"/>
      </w:pPr>
      <w:r>
        <w:rPr>
          <w:sz w:val="20"/>
        </w:rPr>
        <w:t xml:space="preserve">&lt;2&gt; </w:t>
      </w:r>
      <w:hyperlink w:history="0" r:id="rId12"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pPr>
        <w:pStyle w:val="0"/>
        <w:jc w:val="both"/>
      </w:pPr>
      <w:r>
        <w:rPr>
          <w:sz w:val="20"/>
        </w:rPr>
      </w:r>
    </w:p>
    <w:p>
      <w:pPr>
        <w:pStyle w:val="0"/>
        <w:ind w:firstLine="540"/>
        <w:jc w:val="both"/>
      </w:pPr>
      <w:r>
        <w:rPr>
          <w:sz w:val="20"/>
        </w:rPr>
        <w:t xml:space="preserve">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pPr>
        <w:pStyle w:val="0"/>
        <w:spacing w:before="200" w:line-rule="auto"/>
        <w:ind w:firstLine="540"/>
        <w:jc w:val="both"/>
      </w:pPr>
      <w:r>
        <w:rPr>
          <w:sz w:val="20"/>
        </w:rPr>
        <w:t xml:space="preserve">6. Информация о порядке предоставления государственной услуги предоставляется на безвозмездной основе.</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8. Предоставление государственной услуги осуществляется территориальными органами Роскомнадзора.</w:t>
      </w:r>
    </w:p>
    <w:p>
      <w:pPr>
        <w:pStyle w:val="0"/>
        <w:spacing w:before="200" w:line-rule="auto"/>
        <w:ind w:firstLine="540"/>
        <w:jc w:val="both"/>
      </w:pPr>
      <w:r>
        <w:rPr>
          <w:sz w:val="20"/>
        </w:rP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w:history="0" r:id="rId1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 3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pPr>
        <w:pStyle w:val="0"/>
        <w:spacing w:before="200" w:line-rule="auto"/>
        <w:ind w:firstLine="540"/>
        <w:jc w:val="both"/>
      </w:pPr>
      <w:r>
        <w:rPr>
          <w:sz w:val="20"/>
        </w:rPr>
        <w:t xml:space="preserve">&lt;4&gt;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10. Результатом предоставления государственной услуги является выдача (направление):</w:t>
      </w:r>
    </w:p>
    <w:p>
      <w:pPr>
        <w:pStyle w:val="0"/>
        <w:spacing w:before="200" w:line-rule="auto"/>
        <w:ind w:firstLine="540"/>
        <w:jc w:val="both"/>
      </w:pPr>
      <w:r>
        <w:rPr>
          <w:sz w:val="20"/>
        </w:rP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history="0" w:anchor="P134" w:tooltip="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приложении N 1 к настоящему Регламенту.">
        <w:r>
          <w:rPr>
            <w:sz w:val="20"/>
            <w:color w:val="0000ff"/>
          </w:rPr>
          <w:t xml:space="preserve">пунктами 20</w:t>
        </w:r>
      </w:hyperlink>
      <w:r>
        <w:rPr>
          <w:sz w:val="20"/>
        </w:rPr>
        <w:t xml:space="preserve"> - </w:t>
      </w:r>
      <w:hyperlink w:history="0" w:anchor="P137" w:tooltip="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
        <w:r>
          <w:rPr>
            <w:sz w:val="20"/>
            <w:color w:val="0000ff"/>
          </w:rPr>
          <w:t xml:space="preserve">23</w:t>
        </w:r>
      </w:hyperlink>
      <w:r>
        <w:rPr>
          <w:sz w:val="20"/>
        </w:rPr>
        <w:t xml:space="preserve"> настоящего Регламента (далее - разрешение на судовые радиостанции);</w:t>
      </w:r>
    </w:p>
    <w:p>
      <w:pPr>
        <w:pStyle w:val="0"/>
        <w:jc w:val="both"/>
      </w:pPr>
      <w:r>
        <w:rPr>
          <w:sz w:val="20"/>
        </w:rPr>
        <w:t xml:space="preserve">(в ред. </w:t>
      </w:r>
      <w:hyperlink w:history="0" r:id="rId15"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rPr>
        <w:t xml:space="preserve"> Роскомнадзора от 17.02.2020 N 22)</w:t>
      </w:r>
    </w:p>
    <w:p>
      <w:pPr>
        <w:pStyle w:val="0"/>
        <w:spacing w:before="200" w:line-rule="auto"/>
        <w:ind w:firstLine="540"/>
        <w:jc w:val="both"/>
      </w:pPr>
      <w:r>
        <w:rPr>
          <w:sz w:val="20"/>
        </w:rPr>
        <w:t xml:space="preserve">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pPr>
        <w:pStyle w:val="0"/>
        <w:spacing w:before="200" w:line-rule="auto"/>
        <w:ind w:firstLine="540"/>
        <w:jc w:val="both"/>
      </w:pPr>
      <w:r>
        <w:rPr>
          <w:sz w:val="20"/>
        </w:rPr>
        <w:t xml:space="preserve">3) извещения об отказе в предоставлении государственной услуги с указанием причин отказа.</w:t>
      </w:r>
    </w:p>
    <w:bookmarkStart w:id="95" w:name="P95"/>
    <w:bookmarkEnd w:id="95"/>
    <w:p>
      <w:pPr>
        <w:pStyle w:val="0"/>
        <w:spacing w:before="200" w:line-rule="auto"/>
        <w:ind w:firstLine="540"/>
        <w:jc w:val="both"/>
      </w:pPr>
      <w:r>
        <w:rPr>
          <w:sz w:val="20"/>
        </w:rPr>
        <w:t xml:space="preserve">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pPr>
        <w:pStyle w:val="0"/>
        <w:jc w:val="both"/>
      </w:pPr>
      <w:r>
        <w:rPr>
          <w:sz w:val="20"/>
        </w:rPr>
      </w:r>
    </w:p>
    <w:p>
      <w:pPr>
        <w:pStyle w:val="0"/>
        <w:ind w:firstLine="540"/>
        <w:jc w:val="both"/>
      </w:pPr>
      <w:r>
        <w:rPr>
          <w:sz w:val="20"/>
        </w:rPr>
        <w:t xml:space="preserve">12. В личном кабинете на Едином портале заявителю обеспечивается доступ к электронным документам, указанным в </w:t>
      </w:r>
      <w:hyperlink w:history="0" w:anchor="P95" w:tooltip="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
        <w:r>
          <w:rPr>
            <w:sz w:val="20"/>
            <w:color w:val="0000ff"/>
          </w:rPr>
          <w:t xml:space="preserve">пункте 11</w:t>
        </w:r>
      </w:hyperlink>
      <w:r>
        <w:rPr>
          <w:sz w:val="20"/>
        </w:rPr>
        <w:t xml:space="preserve"> настоящего Регламента в течение срока действия таких документов.</w:t>
      </w:r>
    </w:p>
    <w:p>
      <w:pPr>
        <w:pStyle w:val="0"/>
        <w:spacing w:before="200" w:line-rule="auto"/>
        <w:ind w:firstLine="540"/>
        <w:jc w:val="both"/>
      </w:pPr>
      <w:r>
        <w:rPr>
          <w:sz w:val="20"/>
        </w:rPr>
        <w:t xml:space="preserve">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pPr>
        <w:pStyle w:val="0"/>
        <w:spacing w:before="200" w:line-rule="auto"/>
        <w:ind w:firstLine="540"/>
        <w:jc w:val="both"/>
      </w:pPr>
      <w:r>
        <w:rPr>
          <w:sz w:val="20"/>
        </w:rPr>
        <w:t xml:space="preserve">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15. Предоставление государственной услуги осуществляется не позднее восьми рабочих дней со дня регистрации заявления.</w:t>
      </w:r>
    </w:p>
    <w:p>
      <w:pPr>
        <w:pStyle w:val="0"/>
        <w:spacing w:before="200" w:line-rule="auto"/>
        <w:ind w:firstLine="540"/>
        <w:jc w:val="both"/>
      </w:pPr>
      <w:r>
        <w:rPr>
          <w:sz w:val="20"/>
        </w:rPr>
        <w:t xml:space="preserve">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7"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 3 статьи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pPr>
        <w:pStyle w:val="0"/>
        <w:spacing w:before="200" w:line-rule="auto"/>
        <w:ind w:firstLine="540"/>
        <w:jc w:val="both"/>
      </w:pPr>
      <w:r>
        <w:rPr>
          <w:sz w:val="20"/>
        </w:rPr>
        <w:t xml:space="preserve">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w:t>
      </w:r>
    </w:p>
    <w:p>
      <w:pPr>
        <w:pStyle w:val="2"/>
        <w:jc w:val="center"/>
      </w:pPr>
      <w:r>
        <w:rPr>
          <w:sz w:val="20"/>
        </w:rPr>
        <w:t xml:space="preserve">заявителем, способы их получения заявителем,</w:t>
      </w:r>
    </w:p>
    <w:p>
      <w:pPr>
        <w:pStyle w:val="2"/>
        <w:jc w:val="center"/>
      </w:pPr>
      <w:r>
        <w:rPr>
          <w:sz w:val="20"/>
        </w:rPr>
        <w:t xml:space="preserve">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134" w:name="P134"/>
    <w:bookmarkEnd w:id="134"/>
    <w:p>
      <w:pPr>
        <w:pStyle w:val="0"/>
        <w:ind w:firstLine="540"/>
        <w:jc w:val="both"/>
      </w:pPr>
      <w:r>
        <w:rPr>
          <w:sz w:val="20"/>
        </w:rP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history="0" w:anchor="P588" w:tooltip="Заявление">
        <w:r>
          <w:rPr>
            <w:sz w:val="20"/>
            <w:color w:val="0000ff"/>
          </w:rPr>
          <w:t xml:space="preserve">приложении N 1</w:t>
        </w:r>
      </w:hyperlink>
      <w:r>
        <w:rPr>
          <w:sz w:val="20"/>
        </w:rPr>
        <w:t xml:space="preserve"> к настоящему Регламенту.</w:t>
      </w:r>
    </w:p>
    <w:p>
      <w:pPr>
        <w:pStyle w:val="0"/>
        <w:spacing w:before="200" w:line-rule="auto"/>
        <w:ind w:firstLine="540"/>
        <w:jc w:val="both"/>
      </w:pPr>
      <w:r>
        <w:rPr>
          <w:sz w:val="20"/>
        </w:rP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history="0" w:anchor="P751" w:tooltip="Заявление">
        <w:r>
          <w:rPr>
            <w:sz w:val="20"/>
            <w:color w:val="0000ff"/>
          </w:rPr>
          <w:t xml:space="preserve">приложении N 2</w:t>
        </w:r>
      </w:hyperlink>
      <w:r>
        <w:rPr>
          <w:sz w:val="20"/>
        </w:rPr>
        <w:t xml:space="preserve"> к настоящему Регламенту.</w:t>
      </w:r>
    </w:p>
    <w:p>
      <w:pPr>
        <w:pStyle w:val="0"/>
        <w:spacing w:before="200" w:line-rule="auto"/>
        <w:ind w:firstLine="540"/>
        <w:jc w:val="both"/>
      </w:pPr>
      <w:r>
        <w:rPr>
          <w:sz w:val="20"/>
        </w:rP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history="0" w:anchor="P926" w:tooltip="Заявление">
        <w:r>
          <w:rPr>
            <w:sz w:val="20"/>
            <w:color w:val="0000ff"/>
          </w:rPr>
          <w:t xml:space="preserve">приложении N 3</w:t>
        </w:r>
      </w:hyperlink>
      <w:r>
        <w:rPr>
          <w:sz w:val="20"/>
        </w:rPr>
        <w:t xml:space="preserve"> к настоящему Регламенту.</w:t>
      </w:r>
    </w:p>
    <w:bookmarkStart w:id="137" w:name="P137"/>
    <w:bookmarkEnd w:id="137"/>
    <w:p>
      <w:pPr>
        <w:pStyle w:val="0"/>
        <w:spacing w:before="200" w:line-rule="auto"/>
        <w:ind w:firstLine="540"/>
        <w:jc w:val="both"/>
      </w:pPr>
      <w:r>
        <w:rPr>
          <w:sz w:val="20"/>
        </w:rP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history="0" w:anchor="P1014" w:tooltip="Заявление">
        <w:r>
          <w:rPr>
            <w:sz w:val="20"/>
            <w:color w:val="0000ff"/>
          </w:rPr>
          <w:t xml:space="preserve">приложении N 4</w:t>
        </w:r>
      </w:hyperlink>
      <w:r>
        <w:rPr>
          <w:sz w:val="20"/>
        </w:rPr>
        <w:t xml:space="preserve"> к настоящему Регламенту.</w:t>
      </w:r>
    </w:p>
    <w:p>
      <w:pPr>
        <w:pStyle w:val="0"/>
        <w:spacing w:before="200" w:line-rule="auto"/>
        <w:ind w:firstLine="540"/>
        <w:jc w:val="both"/>
      </w:pPr>
      <w:r>
        <w:rPr>
          <w:sz w:val="20"/>
        </w:rPr>
        <w:t xml:space="preserve">24. Документы, указанные в </w:t>
      </w:r>
      <w:hyperlink w:history="0" w:anchor="P134" w:tooltip="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приложении N 1 к настоящему Регламенту.">
        <w:r>
          <w:rPr>
            <w:sz w:val="20"/>
            <w:color w:val="0000ff"/>
          </w:rPr>
          <w:t xml:space="preserve">пунктах 20</w:t>
        </w:r>
      </w:hyperlink>
      <w:r>
        <w:rPr>
          <w:sz w:val="20"/>
        </w:rPr>
        <w:t xml:space="preserve"> - </w:t>
      </w:r>
      <w:hyperlink w:history="0" w:anchor="P137" w:tooltip="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
        <w:r>
          <w:rPr>
            <w:sz w:val="20"/>
            <w:color w:val="0000ff"/>
          </w:rPr>
          <w:t xml:space="preserve">23</w:t>
        </w:r>
      </w:hyperlink>
      <w:r>
        <w:rPr>
          <w:sz w:val="20"/>
        </w:rPr>
        <w:t xml:space="preserve"> настоящего Регламента, могут быть представлены в территориальный орган Роскомнадзора на бумажном носителе или в электронной форме.</w:t>
      </w:r>
    </w:p>
    <w:p>
      <w:pPr>
        <w:pStyle w:val="0"/>
        <w:spacing w:before="200" w:line-rule="auto"/>
        <w:ind w:firstLine="540"/>
        <w:jc w:val="both"/>
      </w:pPr>
      <w:r>
        <w:rPr>
          <w:sz w:val="20"/>
        </w:rPr>
        <w:t xml:space="preserve">25. Документы, поданные в электронной форме, подписываются заявителем усиленной квалифицированной электронной подписью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8"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 а также способы</w:t>
      </w:r>
    </w:p>
    <w:p>
      <w:pPr>
        <w:pStyle w:val="2"/>
        <w:jc w:val="center"/>
      </w:pPr>
      <w:r>
        <w:rPr>
          <w:sz w:val="20"/>
        </w:rPr>
        <w:t xml:space="preserve">их получения заявителями, в том числе в электронной</w:t>
      </w:r>
    </w:p>
    <w:p>
      <w:pPr>
        <w:pStyle w:val="2"/>
        <w:jc w:val="center"/>
      </w:pPr>
      <w:r>
        <w:rPr>
          <w:sz w:val="20"/>
        </w:rPr>
        <w:t xml:space="preserve">форме, порядок их представления</w:t>
      </w:r>
    </w:p>
    <w:p>
      <w:pPr>
        <w:pStyle w:val="0"/>
        <w:jc w:val="both"/>
      </w:pPr>
      <w:r>
        <w:rPr>
          <w:sz w:val="20"/>
        </w:rPr>
      </w:r>
    </w:p>
    <w:p>
      <w:pPr>
        <w:pStyle w:val="0"/>
        <w:ind w:firstLine="540"/>
        <w:jc w:val="both"/>
      </w:pPr>
      <w:r>
        <w:rPr>
          <w:sz w:val="20"/>
        </w:rPr>
        <w:t xml:space="preserve">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9"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pPr>
        <w:pStyle w:val="0"/>
        <w:jc w:val="both"/>
      </w:pPr>
      <w:r>
        <w:rPr>
          <w:sz w:val="20"/>
        </w:rPr>
      </w:r>
    </w:p>
    <w:p>
      <w:pPr>
        <w:pStyle w:val="0"/>
        <w:ind w:firstLine="540"/>
        <w:jc w:val="both"/>
      </w:pPr>
      <w:r>
        <w:rPr>
          <w:sz w:val="20"/>
        </w:rPr>
        <w:t xml:space="preserve">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pPr>
        <w:pStyle w:val="0"/>
        <w:spacing w:before="200" w:line-rule="auto"/>
        <w:ind w:firstLine="540"/>
        <w:jc w:val="both"/>
      </w:pPr>
      <w:r>
        <w:rPr>
          <w:sz w:val="20"/>
        </w:rPr>
        <w:t xml:space="preserve">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pPr>
        <w:pStyle w:val="0"/>
        <w:spacing w:before="200" w:line-rule="auto"/>
        <w:ind w:firstLine="540"/>
        <w:jc w:val="both"/>
      </w:pPr>
      <w:r>
        <w:rPr>
          <w:sz w:val="20"/>
        </w:rPr>
        <w:t xml:space="preserve">3) информации об уплате государственной пошлины в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pPr>
        <w:pStyle w:val="0"/>
        <w:spacing w:before="200" w:line-rule="auto"/>
        <w:ind w:firstLine="540"/>
        <w:jc w:val="both"/>
      </w:pPr>
      <w:r>
        <w:rPr>
          <w:sz w:val="20"/>
        </w:rPr>
        <w:t xml:space="preserve">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27. Сотрудники территориальных органов Роскомнадзора не вправе требовать от заявителя:</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0"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 1 части 1 статьи 7</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1"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части 6 статьи 7</w:t>
        </w:r>
      </w:hyperlink>
      <w:r>
        <w:rPr>
          <w:sz w:val="20"/>
        </w:rPr>
        <w:t xml:space="preserve"> Федерального закона N 210-ФЗ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 2 части 1 статьи 7</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3"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пунктом 4 части 1 статьи 7</w:t>
        </w:r>
      </w:hyperlink>
      <w:r>
        <w:rPr>
          <w:sz w:val="20"/>
        </w:rPr>
        <w:t xml:space="preserve"> Федерального закона N 210-ФЗ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4"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pPr>
        <w:pStyle w:val="0"/>
        <w:spacing w:before="200" w:line-rule="auto"/>
        <w:ind w:firstLine="540"/>
        <w:jc w:val="both"/>
      </w:pPr>
      <w:r>
        <w:rPr>
          <w:sz w:val="20"/>
        </w:rPr>
        <w:t xml:space="preserve">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185" w:name="P185"/>
    <w:bookmarkEnd w:id="185"/>
    <w:p>
      <w:pPr>
        <w:pStyle w:val="0"/>
        <w:ind w:firstLine="540"/>
        <w:jc w:val="both"/>
      </w:pPr>
      <w:r>
        <w:rPr>
          <w:sz w:val="20"/>
        </w:rPr>
        <w:t xml:space="preserve">30. Основаниями для отказа в выдаче разрешения на судовые радиостанции являются:</w:t>
      </w:r>
    </w:p>
    <w:p>
      <w:pPr>
        <w:pStyle w:val="0"/>
        <w:spacing w:before="200" w:line-rule="auto"/>
        <w:ind w:firstLine="540"/>
        <w:jc w:val="both"/>
      </w:pPr>
      <w:r>
        <w:rPr>
          <w:sz w:val="20"/>
        </w:rPr>
        <w:t xml:space="preserve">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5" w:tooltip="Федеральный закон от 07.07.2003 N 126-ФЗ (ред. от 30.12.2021) &quot;О связи&quot; (с изм. и доп., вступ. в силу с 01.05.2022) {КонсультантПлюс}">
        <w:r>
          <w:rPr>
            <w:sz w:val="20"/>
            <w:color w:val="0000ff"/>
          </w:rPr>
          <w:t xml:space="preserve">Абзац 8 пункта 3 статьи 24</w:t>
        </w:r>
      </w:hyperlink>
      <w:r>
        <w:rPr>
          <w:sz w:val="20"/>
        </w:rP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pPr>
        <w:pStyle w:val="0"/>
        <w:jc w:val="both"/>
      </w:pPr>
      <w:r>
        <w:rPr>
          <w:sz w:val="20"/>
        </w:rPr>
      </w:r>
    </w:p>
    <w:p>
      <w:pPr>
        <w:pStyle w:val="0"/>
        <w:ind w:firstLine="540"/>
        <w:jc w:val="both"/>
      </w:pPr>
      <w:r>
        <w:rPr>
          <w:sz w:val="20"/>
        </w:rPr>
        <w:t xml:space="preserve">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6" w:tooltip="Федеральный закон от 07.07.2003 N 126-ФЗ (ред. от 30.12.2021) &quot;О связи&quot; (с изм. и доп., вступ. в силу с 01.05.2022) {КонсультантПлюс}">
        <w:r>
          <w:rPr>
            <w:sz w:val="20"/>
            <w:color w:val="0000ff"/>
          </w:rPr>
          <w:t xml:space="preserve">Пункт 2 статьи 24</w:t>
        </w:r>
      </w:hyperlink>
      <w:r>
        <w:rPr>
          <w:sz w:val="20"/>
        </w:rPr>
        <w:t xml:space="preserve"> Федерального закона N 126-ФЗ.</w:t>
      </w:r>
    </w:p>
    <w:p>
      <w:pPr>
        <w:pStyle w:val="0"/>
        <w:jc w:val="both"/>
      </w:pPr>
      <w:r>
        <w:rPr>
          <w:sz w:val="20"/>
        </w:rPr>
      </w:r>
    </w:p>
    <w:p>
      <w:pPr>
        <w:pStyle w:val="0"/>
        <w:ind w:firstLine="540"/>
        <w:jc w:val="both"/>
      </w:pPr>
      <w:r>
        <w:rPr>
          <w:sz w:val="20"/>
        </w:rPr>
        <w:t xml:space="preserve">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pPr>
        <w:pStyle w:val="0"/>
        <w:spacing w:before="200" w:line-rule="auto"/>
        <w:ind w:firstLine="540"/>
        <w:jc w:val="both"/>
      </w:pPr>
      <w:r>
        <w:rPr>
          <w:sz w:val="20"/>
        </w:rPr>
        <w:t xml:space="preserve">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bookmarkStart w:id="196" w:name="P196"/>
    <w:bookmarkEnd w:id="196"/>
    <w:p>
      <w:pPr>
        <w:pStyle w:val="0"/>
        <w:spacing w:before="200" w:line-rule="auto"/>
        <w:ind w:firstLine="540"/>
        <w:jc w:val="both"/>
      </w:pPr>
      <w:r>
        <w:rPr>
          <w:sz w:val="20"/>
        </w:rPr>
        <w:t xml:space="preserve">32. Основания для приостановления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history="0" w:anchor="P196" w:tooltip="32. Основания для приостановления предоставления государственной услуги отсутствуют.">
        <w:r>
          <w:rPr>
            <w:sz w:val="20"/>
            <w:color w:val="0000ff"/>
          </w:rPr>
          <w:t xml:space="preserve">пунктом 32</w:t>
        </w:r>
      </w:hyperlink>
      <w:r>
        <w:rPr>
          <w:sz w:val="20"/>
        </w:rPr>
        <w:t xml:space="preserve"> Перечня услуг.</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w:history="0" r:id="rId27" w:tooltip="&quot;Налоговый кодекс Российской Федерации (часть вторая)&quot; от 05.08.2000 N 117-ФЗ (ред. от 21.11.2022) {КонсультантПлюс}">
        <w:r>
          <w:rPr>
            <w:sz w:val="20"/>
            <w:color w:val="0000ff"/>
          </w:rPr>
          <w:t xml:space="preserve">пунктом 69 части 1 статьи 333.33</w:t>
        </w:r>
      </w:hyperlink>
      <w:r>
        <w:rPr>
          <w:sz w:val="20"/>
        </w:rPr>
        <w:t xml:space="preserve"> Налогового кодекса Российской Федерации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Собрание законодательства Российской Федерации, 2000, N 32, ст. 3340; 2018, N 53, ст. 8419.</w:t>
      </w:r>
    </w:p>
    <w:p>
      <w:pPr>
        <w:pStyle w:val="0"/>
        <w:jc w:val="both"/>
      </w:pPr>
      <w:r>
        <w:rPr>
          <w:sz w:val="20"/>
        </w:rPr>
      </w:r>
    </w:p>
    <w:p>
      <w:pPr>
        <w:pStyle w:val="0"/>
        <w:ind w:firstLine="540"/>
        <w:jc w:val="both"/>
      </w:pPr>
      <w:r>
        <w:rPr>
          <w:sz w:val="20"/>
        </w:rPr>
        <w:t xml:space="preserve">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pPr>
        <w:pStyle w:val="0"/>
        <w:spacing w:before="200" w:line-rule="auto"/>
        <w:ind w:firstLine="540"/>
        <w:jc w:val="both"/>
      </w:pPr>
      <w:r>
        <w:rPr>
          <w:sz w:val="20"/>
        </w:rP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w:history="0" r:id="rId28"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29"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Пункт 17</w:t>
        </w:r>
      </w:hyperlink>
      <w:r>
        <w:rPr>
          <w:sz w:val="20"/>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pPr>
        <w:pStyle w:val="0"/>
        <w:jc w:val="both"/>
      </w:pPr>
      <w:r>
        <w:rPr>
          <w:sz w:val="20"/>
        </w:rPr>
      </w:r>
    </w:p>
    <w:p>
      <w:pPr>
        <w:pStyle w:val="0"/>
        <w:ind w:firstLine="540"/>
        <w:jc w:val="both"/>
      </w:pPr>
      <w:r>
        <w:rPr>
          <w:sz w:val="20"/>
        </w:rPr>
        <w:t xml:space="preserve">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0"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Пункт 17</w:t>
        </w:r>
      </w:hyperlink>
      <w:r>
        <w:rPr>
          <w:sz w:val="20"/>
        </w:rPr>
        <w:t xml:space="preserve"> постановления Правительства Российской Федерации N 236.</w:t>
      </w:r>
    </w:p>
    <w:p>
      <w:pPr>
        <w:pStyle w:val="0"/>
        <w:jc w:val="both"/>
      </w:pPr>
      <w:r>
        <w:rPr>
          <w:sz w:val="20"/>
        </w:rPr>
      </w:r>
    </w:p>
    <w:p>
      <w:pPr>
        <w:pStyle w:val="0"/>
        <w:ind w:firstLine="540"/>
        <w:jc w:val="both"/>
      </w:pPr>
      <w:r>
        <w:rPr>
          <w:sz w:val="20"/>
        </w:rPr>
        <w:t xml:space="preserve">39. В платежном документе указывается уникальный идентификатор начисления и идентификатор плательщика.</w:t>
      </w:r>
    </w:p>
    <w:p>
      <w:pPr>
        <w:pStyle w:val="0"/>
        <w:spacing w:before="200" w:line-rule="auto"/>
        <w:ind w:firstLine="540"/>
        <w:jc w:val="both"/>
      </w:pPr>
      <w:r>
        <w:rPr>
          <w:sz w:val="20"/>
        </w:rPr>
        <w:t xml:space="preserve">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pPr>
        <w:pStyle w:val="0"/>
        <w:spacing w:before="200" w:line-rule="auto"/>
        <w:ind w:firstLine="540"/>
        <w:jc w:val="both"/>
      </w:pPr>
      <w:r>
        <w:rPr>
          <w:sz w:val="20"/>
        </w:rPr>
        <w:t xml:space="preserve">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pPr>
        <w:pStyle w:val="0"/>
        <w:spacing w:before="200" w:line-rule="auto"/>
        <w:ind w:firstLine="540"/>
        <w:jc w:val="both"/>
      </w:pPr>
      <w:r>
        <w:rPr>
          <w:sz w:val="20"/>
        </w:rPr>
        <w:t xml:space="preserve">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1"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Статья 21.3</w:t>
        </w:r>
      </w:hyperlink>
      <w:r>
        <w:rPr>
          <w:sz w:val="20"/>
        </w:rPr>
        <w:t xml:space="preserve"> Федерального закона N 210-ФЗ.</w:t>
      </w:r>
    </w:p>
    <w:p>
      <w:pPr>
        <w:pStyle w:val="0"/>
        <w:jc w:val="both"/>
      </w:pPr>
      <w:r>
        <w:rPr>
          <w:sz w:val="20"/>
        </w:rPr>
      </w:r>
    </w:p>
    <w:p>
      <w:pPr>
        <w:pStyle w:val="0"/>
        <w:ind w:firstLine="540"/>
        <w:jc w:val="both"/>
      </w:pPr>
      <w:r>
        <w:rPr>
          <w:sz w:val="20"/>
        </w:rPr>
        <w:t xml:space="preserve">43. В случае, предусмотренном </w:t>
      </w:r>
      <w:hyperlink w:history="0" w:anchor="P376" w:tooltip="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
        <w:r>
          <w:rPr>
            <w:sz w:val="20"/>
            <w:color w:val="0000ff"/>
          </w:rPr>
          <w:t xml:space="preserve">подпунктом 1 пункта 66</w:t>
        </w:r>
      </w:hyperlink>
      <w:r>
        <w:rPr>
          <w:sz w:val="20"/>
        </w:rP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w:history="0" r:id="rId32"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постановления</w:t>
        </w:r>
      </w:hyperlink>
      <w:r>
        <w:rPr>
          <w:sz w:val="20"/>
        </w:rPr>
        <w:t xml:space="preserve"> Правительства Российской Федерации N 352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3" w:tooltip="Федеральный закон от 07.07.2003 N 126-ФЗ (ред. от 30.12.2021) &quot;О связи&quot; (с изм. и доп., вступ. в силу с 01.05.2022) {КонсультантПлюс}">
        <w:r>
          <w:rPr>
            <w:sz w:val="20"/>
            <w:color w:val="0000ff"/>
          </w:rPr>
          <w:t xml:space="preserve">Абзац 8 пункта 3 статьи 24</w:t>
        </w:r>
      </w:hyperlink>
      <w:r>
        <w:rPr>
          <w:sz w:val="20"/>
        </w:rPr>
        <w:t xml:space="preserve"> Федерального закона N 126-ФЗ.</w:t>
      </w:r>
    </w:p>
    <w:p>
      <w:pPr>
        <w:pStyle w:val="0"/>
        <w:spacing w:before="200" w:line-rule="auto"/>
        <w:ind w:firstLine="540"/>
        <w:jc w:val="both"/>
      </w:pPr>
      <w:r>
        <w:rPr>
          <w:sz w:val="20"/>
        </w:rPr>
        <w:t xml:space="preserve">&lt;19&gt; </w:t>
      </w:r>
      <w:hyperlink w:history="0" w:anchor="P196" w:tooltip="32. Основания для приостановления предоставления государственной услуги отсутствуют.">
        <w:r>
          <w:rPr>
            <w:sz w:val="20"/>
            <w:color w:val="0000ff"/>
          </w:rPr>
          <w:t xml:space="preserve">Пункт 32</w:t>
        </w:r>
      </w:hyperlink>
      <w:r>
        <w:rPr>
          <w:sz w:val="20"/>
        </w:rPr>
        <w:t xml:space="preserve"> Перечня услуг.</w:t>
      </w:r>
    </w:p>
    <w:p>
      <w:pPr>
        <w:pStyle w:val="0"/>
        <w:jc w:val="both"/>
      </w:pPr>
      <w:r>
        <w:rPr>
          <w:sz w:val="20"/>
        </w:rPr>
      </w:r>
    </w:p>
    <w:p>
      <w:pPr>
        <w:pStyle w:val="0"/>
        <w:ind w:firstLine="540"/>
        <w:jc w:val="both"/>
      </w:pPr>
      <w:r>
        <w:rPr>
          <w:sz w:val="20"/>
        </w:rPr>
        <w:t xml:space="preserve">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34" w:tooltip="Федеральный закон от 07.07.2003 N 126-ФЗ (ред. от 30.12.2021) &quot;О связи&quot; (с изм. и доп., вступ. в силу с 01.05.2022) {КонсультантПлюс}">
        <w:r>
          <w:rPr>
            <w:sz w:val="20"/>
            <w:color w:val="0000ff"/>
          </w:rPr>
          <w:t xml:space="preserve">Абзац 8 пункта 3 статьи 24</w:t>
        </w:r>
      </w:hyperlink>
      <w:r>
        <w:rPr>
          <w:sz w:val="20"/>
        </w:rPr>
        <w:t xml:space="preserve"> Федерального закона N 126-ФЗ.</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bookmarkStart w:id="253" w:name="P253"/>
    <w:bookmarkEnd w:id="253"/>
    <w:p>
      <w:pPr>
        <w:pStyle w:val="0"/>
        <w:ind w:firstLine="540"/>
        <w:jc w:val="both"/>
      </w:pPr>
      <w:r>
        <w:rPr>
          <w:sz w:val="20"/>
        </w:rPr>
        <w:t xml:space="preserve">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bookmarkStart w:id="260" w:name="P260"/>
    <w:bookmarkEnd w:id="260"/>
    <w:p>
      <w:pPr>
        <w:pStyle w:val="0"/>
        <w:ind w:firstLine="540"/>
        <w:jc w:val="both"/>
      </w:pPr>
      <w:r>
        <w:rPr>
          <w:sz w:val="20"/>
        </w:rPr>
        <w:t xml:space="preserve">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pPr>
        <w:pStyle w:val="0"/>
        <w:spacing w:before="200" w:line-rule="auto"/>
        <w:ind w:firstLine="540"/>
        <w:jc w:val="both"/>
      </w:pPr>
      <w:r>
        <w:rPr>
          <w:sz w:val="20"/>
        </w:rPr>
        <w:t xml:space="preserve">48. Информация о регистрационном номере заявления автоматически поступает в личный кабинет заявителя на Едином портале.</w:t>
      </w:r>
    </w:p>
    <w:p>
      <w:pPr>
        <w:pStyle w:val="0"/>
        <w:spacing w:before="200" w:line-rule="auto"/>
        <w:ind w:firstLine="540"/>
        <w:jc w:val="both"/>
      </w:pPr>
      <w:r>
        <w:rPr>
          <w:sz w:val="20"/>
        </w:rPr>
        <w:t xml:space="preserve">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bookmarkStart w:id="263" w:name="P263"/>
    <w:bookmarkEnd w:id="263"/>
    <w:p>
      <w:pPr>
        <w:pStyle w:val="0"/>
        <w:spacing w:before="200" w:line-rule="auto"/>
        <w:ind w:firstLine="540"/>
        <w:jc w:val="both"/>
      </w:pPr>
      <w:r>
        <w:rPr>
          <w:sz w:val="20"/>
        </w:rPr>
        <w:t xml:space="preserve">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both"/>
      </w:pPr>
      <w:r>
        <w:rPr>
          <w:sz w:val="20"/>
        </w:rPr>
      </w:r>
    </w:p>
    <w:p>
      <w:pPr>
        <w:pStyle w:val="0"/>
        <w:ind w:firstLine="540"/>
        <w:jc w:val="both"/>
      </w:pPr>
      <w:r>
        <w:rPr>
          <w:sz w:val="20"/>
        </w:rPr>
        <w:t xml:space="preserve">51. Рядом с входом в помещение приема и выдачи документов территориальных органов Роскомнадзора размещаются информационные стенды.</w:t>
      </w:r>
    </w:p>
    <w:p>
      <w:pPr>
        <w:pStyle w:val="0"/>
        <w:spacing w:before="200" w:line-rule="auto"/>
        <w:ind w:firstLine="540"/>
        <w:jc w:val="both"/>
      </w:pPr>
      <w:r>
        <w:rPr>
          <w:sz w:val="20"/>
        </w:rPr>
        <w:t xml:space="preserve">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pPr>
        <w:pStyle w:val="0"/>
        <w:spacing w:before="200" w:line-rule="auto"/>
        <w:ind w:firstLine="540"/>
        <w:jc w:val="both"/>
      </w:pPr>
      <w:r>
        <w:rPr>
          <w:sz w:val="20"/>
        </w:rPr>
        <w:t xml:space="preserve">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pPr>
        <w:pStyle w:val="0"/>
        <w:spacing w:before="200" w:line-rule="auto"/>
        <w:ind w:firstLine="540"/>
        <w:jc w:val="both"/>
      </w:pPr>
      <w:r>
        <w:rPr>
          <w:sz w:val="20"/>
        </w:rPr>
        <w:t xml:space="preserve">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6) допуск сурдопереводчика и тифлосурдопереводчика;</w:t>
      </w:r>
    </w:p>
    <w:p>
      <w:pPr>
        <w:pStyle w:val="0"/>
        <w:spacing w:before="200" w:line-rule="auto"/>
        <w:ind w:firstLine="540"/>
        <w:jc w:val="both"/>
      </w:pPr>
      <w:r>
        <w:rPr>
          <w:sz w:val="20"/>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w:history="0" r:id="rId3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Зарегистрирован Министерством юстиции Российской Федерации 21 июля 2015 г., регистрационный N 38115.</w:t>
      </w:r>
    </w:p>
    <w:p>
      <w:pPr>
        <w:pStyle w:val="0"/>
        <w:jc w:val="both"/>
      </w:pPr>
      <w:r>
        <w:rPr>
          <w:sz w:val="20"/>
        </w:rPr>
      </w:r>
    </w:p>
    <w:p>
      <w:pPr>
        <w:pStyle w:val="0"/>
        <w:ind w:firstLine="540"/>
        <w:jc w:val="both"/>
      </w:pPr>
      <w:r>
        <w:rPr>
          <w:sz w:val="20"/>
        </w:rPr>
        <w:t xml:space="preserve">8) 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spacing w:before="200" w:line-rule="auto"/>
        <w:ind w:firstLine="540"/>
        <w:jc w:val="both"/>
      </w:pPr>
      <w:r>
        <w:rPr>
          <w:sz w:val="20"/>
        </w:rPr>
        <w:t xml:space="preserve">56. У входа в здание должны быть оборудованы парковочные места для личного и служебного автотранспорта.</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57. Показателями доступности и качества предоставления государственной услуги являются:</w:t>
      </w:r>
    </w:p>
    <w:p>
      <w:pPr>
        <w:pStyle w:val="0"/>
        <w:spacing w:before="200" w:line-rule="auto"/>
        <w:ind w:firstLine="540"/>
        <w:jc w:val="both"/>
      </w:pPr>
      <w:r>
        <w:rPr>
          <w:sz w:val="20"/>
        </w:rP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history="0" w:anchor="P253" w:tooltip="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
        <w:r>
          <w:rPr>
            <w:sz w:val="20"/>
            <w:color w:val="0000ff"/>
          </w:rPr>
          <w:t xml:space="preserve">пунктом 46</w:t>
        </w:r>
      </w:hyperlink>
      <w:r>
        <w:rPr>
          <w:sz w:val="20"/>
        </w:rPr>
        <w:t xml:space="preserve"> настоящего Регламента);</w:t>
      </w:r>
    </w:p>
    <w:p>
      <w:pPr>
        <w:pStyle w:val="0"/>
        <w:spacing w:before="200" w:line-rule="auto"/>
        <w:ind w:firstLine="540"/>
        <w:jc w:val="both"/>
      </w:pPr>
      <w:r>
        <w:rPr>
          <w:sz w:val="20"/>
        </w:rPr>
        <w:t xml:space="preserve">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pPr>
        <w:pStyle w:val="0"/>
        <w:spacing w:before="200" w:line-rule="auto"/>
        <w:ind w:firstLine="540"/>
        <w:jc w:val="both"/>
      </w:pPr>
      <w:r>
        <w:rPr>
          <w:sz w:val="20"/>
        </w:rPr>
        <w:t xml:space="preserve">3) предоставление заявителю возможности подачи заявления, как на бумажном носителе, так и в электронной форме;</w:t>
      </w:r>
    </w:p>
    <w:p>
      <w:pPr>
        <w:pStyle w:val="0"/>
        <w:spacing w:before="200" w:line-rule="auto"/>
        <w:ind w:firstLine="540"/>
        <w:jc w:val="both"/>
      </w:pPr>
      <w:r>
        <w:rPr>
          <w:sz w:val="20"/>
        </w:rPr>
        <w:t xml:space="preserve">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pPr>
        <w:pStyle w:val="0"/>
        <w:spacing w:before="200" w:line-rule="auto"/>
        <w:ind w:firstLine="540"/>
        <w:jc w:val="both"/>
      </w:pPr>
      <w:r>
        <w:rPr>
          <w:sz w:val="20"/>
        </w:rPr>
        <w:t xml:space="preserve">5) обоснованность причины отказа в предоставлении государственной услуги;</w:t>
      </w:r>
    </w:p>
    <w:p>
      <w:pPr>
        <w:pStyle w:val="0"/>
        <w:spacing w:before="200" w:line-rule="auto"/>
        <w:ind w:firstLine="540"/>
        <w:jc w:val="both"/>
      </w:pPr>
      <w:r>
        <w:rPr>
          <w:sz w:val="20"/>
        </w:rPr>
        <w:t xml:space="preserve">6) выполнение должностными лицами Роскомнадзора сроков предоставления государственной услуги;</w:t>
      </w:r>
    </w:p>
    <w:p>
      <w:pPr>
        <w:pStyle w:val="0"/>
        <w:spacing w:before="200" w:line-rule="auto"/>
        <w:ind w:firstLine="540"/>
        <w:jc w:val="both"/>
      </w:pPr>
      <w:r>
        <w:rPr>
          <w:sz w:val="20"/>
        </w:rPr>
        <w:t xml:space="preserve">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pPr>
        <w:pStyle w:val="0"/>
        <w:spacing w:before="200" w:line-rule="auto"/>
        <w:ind w:firstLine="540"/>
        <w:jc w:val="both"/>
      </w:pPr>
      <w:r>
        <w:rPr>
          <w:sz w:val="20"/>
        </w:rPr>
        <w:t xml:space="preserve">8) возможность оценить доступность и качество государственной услуги на Едином портале.</w:t>
      </w:r>
    </w:p>
    <w:p>
      <w:pPr>
        <w:pStyle w:val="0"/>
        <w:spacing w:before="200" w:line-rule="auto"/>
        <w:ind w:firstLine="540"/>
        <w:jc w:val="both"/>
      </w:pPr>
      <w:r>
        <w:rPr>
          <w:sz w:val="20"/>
        </w:rPr>
        <w:t xml:space="preserve">Заявителю обеспечивается выполнение следующих действий посредством использования Единого портала:</w:t>
      </w:r>
    </w:p>
    <w:p>
      <w:pPr>
        <w:pStyle w:val="0"/>
        <w:jc w:val="both"/>
      </w:pPr>
      <w:r>
        <w:rPr>
          <w:sz w:val="20"/>
        </w:rPr>
        <w:t xml:space="preserve">(абзац введен </w:t>
      </w:r>
      <w:hyperlink w:history="0" r:id="rId36"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1) получение информации о порядке и сроках предоставления государственной услуги;</w:t>
      </w:r>
    </w:p>
    <w:p>
      <w:pPr>
        <w:pStyle w:val="0"/>
        <w:jc w:val="both"/>
      </w:pPr>
      <w:r>
        <w:rPr>
          <w:sz w:val="20"/>
        </w:rPr>
        <w:t xml:space="preserve">(пп. 1 введен </w:t>
      </w:r>
      <w:hyperlink w:history="0" r:id="rId37"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2) формирование запроса о предоставлении государственной услуги;</w:t>
      </w:r>
    </w:p>
    <w:p>
      <w:pPr>
        <w:pStyle w:val="0"/>
        <w:jc w:val="both"/>
      </w:pPr>
      <w:r>
        <w:rPr>
          <w:sz w:val="20"/>
        </w:rPr>
        <w:t xml:space="preserve">(пп. 2 введен </w:t>
      </w:r>
      <w:hyperlink w:history="0" r:id="rId38"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3) направление документов, необходимых для предоставления государственной услуги;</w:t>
      </w:r>
    </w:p>
    <w:p>
      <w:pPr>
        <w:pStyle w:val="0"/>
        <w:jc w:val="both"/>
      </w:pPr>
      <w:r>
        <w:rPr>
          <w:sz w:val="20"/>
        </w:rPr>
        <w:t xml:space="preserve">(пп. 3 введен </w:t>
      </w:r>
      <w:hyperlink w:history="0" r:id="rId39"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4) получение результата предоставления государственной услуги;</w:t>
      </w:r>
    </w:p>
    <w:p>
      <w:pPr>
        <w:pStyle w:val="0"/>
        <w:jc w:val="both"/>
      </w:pPr>
      <w:r>
        <w:rPr>
          <w:sz w:val="20"/>
        </w:rPr>
        <w:t xml:space="preserve">(пп. 4 введен </w:t>
      </w:r>
      <w:hyperlink w:history="0" r:id="rId40"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5) получение сведений о ходе выполнения запроса о предоставлении государственной услуги.</w:t>
      </w:r>
    </w:p>
    <w:p>
      <w:pPr>
        <w:pStyle w:val="0"/>
        <w:jc w:val="both"/>
      </w:pPr>
      <w:r>
        <w:rPr>
          <w:sz w:val="20"/>
        </w:rPr>
        <w:t xml:space="preserve">(пп. 5 введен </w:t>
      </w:r>
      <w:hyperlink w:history="0" r:id="rId41"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spacing w:before="200" w:line-rule="auto"/>
        <w:ind w:firstLine="540"/>
        <w:jc w:val="both"/>
      </w:pPr>
      <w:r>
        <w:rPr>
          <w:sz w:val="20"/>
        </w:rPr>
        <w:t xml:space="preserve">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pPr>
        <w:pStyle w:val="0"/>
        <w:jc w:val="both"/>
      </w:pPr>
      <w:r>
        <w:rPr>
          <w:sz w:val="20"/>
        </w:rPr>
        <w:t xml:space="preserve">(в ред. </w:t>
      </w:r>
      <w:hyperlink w:history="0" r:id="rId42"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rPr>
        <w:t xml:space="preserve"> Роскомнадзора от 17.02.2020 N 22)</w:t>
      </w:r>
    </w:p>
    <w:p>
      <w:pPr>
        <w:pStyle w:val="0"/>
        <w:spacing w:before="200" w:line-rule="auto"/>
        <w:ind w:firstLine="540"/>
        <w:jc w:val="both"/>
      </w:pPr>
      <w:r>
        <w:rPr>
          <w:sz w:val="20"/>
        </w:rPr>
        <w:t xml:space="preserve">Заявитель вправе получить государственную услугу в любом территориальном органе Роскомнадзора по своему выбору.</w:t>
      </w:r>
    </w:p>
    <w:p>
      <w:pPr>
        <w:pStyle w:val="0"/>
        <w:jc w:val="both"/>
      </w:pPr>
      <w:r>
        <w:rPr>
          <w:sz w:val="20"/>
        </w:rPr>
        <w:t xml:space="preserve">(абзац введен </w:t>
      </w:r>
      <w:hyperlink w:history="0" r:id="rId43"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Приказом</w:t>
        </w:r>
      </w:hyperlink>
      <w:r>
        <w:rPr>
          <w:sz w:val="20"/>
        </w:rPr>
        <w:t xml:space="preserve"> Роскомнадзора от 17.02.2020 N 22)</w:t>
      </w:r>
    </w:p>
    <w:p>
      <w:pPr>
        <w:pStyle w:val="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59. Государственная услуга оказывается по экстерриториальному принципу в любом территориальном органе Роскомнадзора по выбору заявителя.</w:t>
      </w:r>
    </w:p>
    <w:p>
      <w:pPr>
        <w:pStyle w:val="0"/>
        <w:jc w:val="both"/>
      </w:pPr>
      <w:r>
        <w:rPr>
          <w:sz w:val="20"/>
        </w:rPr>
        <w:t xml:space="preserve">(п. 59 в ред. </w:t>
      </w:r>
      <w:hyperlink w:history="0" r:id="rId44"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rPr>
        <w:t xml:space="preserve"> Роскомнадзора от 17.02.2020 N 22)</w:t>
      </w:r>
    </w:p>
    <w:p>
      <w:pPr>
        <w:pStyle w:val="0"/>
        <w:spacing w:before="200" w:line-rule="auto"/>
        <w:ind w:firstLine="540"/>
        <w:jc w:val="both"/>
      </w:pPr>
      <w:r>
        <w:rPr>
          <w:sz w:val="20"/>
        </w:rPr>
        <w:t xml:space="preserve">60. При предоставлении государственной услуги в электронной форме используется усиленная квалифицированная электронная подпись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45"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61. Государственная услуга включает в себя следующие административные процедуры:</w:t>
      </w:r>
    </w:p>
    <w:p>
      <w:pPr>
        <w:pStyle w:val="0"/>
        <w:spacing w:before="200" w:line-rule="auto"/>
        <w:ind w:firstLine="540"/>
        <w:jc w:val="both"/>
      </w:pPr>
      <w:r>
        <w:rPr>
          <w:sz w:val="20"/>
        </w:rPr>
        <w:t xml:space="preserve">1) проверка заявления на полноту и корректность сведений, формирование и направление межведомственных запросов, возврат документов заявителю;</w:t>
      </w:r>
    </w:p>
    <w:p>
      <w:pPr>
        <w:pStyle w:val="0"/>
        <w:spacing w:before="200" w:line-rule="auto"/>
        <w:ind w:firstLine="540"/>
        <w:jc w:val="both"/>
      </w:pPr>
      <w:r>
        <w:rPr>
          <w:sz w:val="20"/>
        </w:rPr>
        <w:t xml:space="preserve">2) рассмотрение заявления и принятие решения о выдаче разрешения на судовые радиостанции;</w:t>
      </w:r>
    </w:p>
    <w:p>
      <w:pPr>
        <w:pStyle w:val="0"/>
        <w:spacing w:before="200" w:line-rule="auto"/>
        <w:ind w:firstLine="540"/>
        <w:jc w:val="both"/>
      </w:pPr>
      <w:r>
        <w:rPr>
          <w:sz w:val="20"/>
        </w:rPr>
        <w:t xml:space="preserve">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pPr>
        <w:pStyle w:val="0"/>
        <w:spacing w:before="200" w:line-rule="auto"/>
        <w:ind w:firstLine="540"/>
        <w:jc w:val="both"/>
      </w:pPr>
      <w:r>
        <w:rPr>
          <w:sz w:val="20"/>
        </w:rPr>
        <w:t xml:space="preserve">4) порядок исправления допущенных опечаток и ошибок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Проверка заявления на полноту и корректность сведений,</w:t>
      </w:r>
    </w:p>
    <w:p>
      <w:pPr>
        <w:pStyle w:val="2"/>
        <w:jc w:val="center"/>
      </w:pPr>
      <w:r>
        <w:rPr>
          <w:sz w:val="20"/>
        </w:rPr>
        <w:t xml:space="preserve">формирование и направление межведомственных запросов,</w:t>
      </w:r>
    </w:p>
    <w:p>
      <w:pPr>
        <w:pStyle w:val="2"/>
        <w:jc w:val="center"/>
      </w:pPr>
      <w:r>
        <w:rPr>
          <w:sz w:val="20"/>
        </w:rPr>
        <w:t xml:space="preserve">возврат документов заявителю</w:t>
      </w:r>
    </w:p>
    <w:p>
      <w:pPr>
        <w:pStyle w:val="0"/>
        <w:jc w:val="both"/>
      </w:pPr>
      <w:r>
        <w:rPr>
          <w:sz w:val="20"/>
        </w:rPr>
      </w:r>
    </w:p>
    <w:p>
      <w:pPr>
        <w:pStyle w:val="0"/>
        <w:ind w:firstLine="540"/>
        <w:jc w:val="both"/>
      </w:pPr>
      <w:r>
        <w:rPr>
          <w:sz w:val="20"/>
        </w:rP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history="0" w:anchor="P260" w:tooltip="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
        <w:r>
          <w:rPr>
            <w:sz w:val="20"/>
            <w:color w:val="0000ff"/>
          </w:rPr>
          <w:t xml:space="preserve">пунктами 47</w:t>
        </w:r>
      </w:hyperlink>
      <w:r>
        <w:rPr>
          <w:sz w:val="20"/>
        </w:rPr>
        <w:t xml:space="preserve"> - </w:t>
      </w:r>
      <w:hyperlink w:history="0" w:anchor="P263" w:tooltip="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
        <w:r>
          <w:rPr>
            <w:sz w:val="20"/>
            <w:color w:val="0000ff"/>
          </w:rPr>
          <w:t xml:space="preserve">50</w:t>
        </w:r>
      </w:hyperlink>
      <w:r>
        <w:rPr>
          <w:sz w:val="20"/>
        </w:rPr>
        <w:t xml:space="preserve"> настоящего Регламента.</w:t>
      </w:r>
    </w:p>
    <w:p>
      <w:pPr>
        <w:pStyle w:val="0"/>
        <w:spacing w:before="200" w:line-rule="auto"/>
        <w:ind w:firstLine="540"/>
        <w:jc w:val="both"/>
      </w:pPr>
      <w:r>
        <w:rPr>
          <w:sz w:val="20"/>
        </w:rP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history="0" w:anchor="P588" w:tooltip="Заявление">
        <w:r>
          <w:rPr>
            <w:sz w:val="20"/>
            <w:color w:val="0000ff"/>
          </w:rPr>
          <w:t xml:space="preserve">приложениями 1</w:t>
        </w:r>
      </w:hyperlink>
      <w:r>
        <w:rPr>
          <w:sz w:val="20"/>
        </w:rPr>
        <w:t xml:space="preserve"> - </w:t>
      </w:r>
      <w:hyperlink w:history="0" w:anchor="P1014" w:tooltip="Заявление">
        <w:r>
          <w:rPr>
            <w:sz w:val="20"/>
            <w:color w:val="0000ff"/>
          </w:rPr>
          <w:t xml:space="preserve">4</w:t>
        </w:r>
      </w:hyperlink>
      <w:r>
        <w:rPr>
          <w:sz w:val="20"/>
        </w:rP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pPr>
        <w:pStyle w:val="0"/>
        <w:spacing w:before="200" w:line-rule="auto"/>
        <w:ind w:firstLine="540"/>
        <w:jc w:val="both"/>
      </w:pPr>
      <w:r>
        <w:rPr>
          <w:sz w:val="20"/>
        </w:rP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w:history="0" r:id="rId46"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N 63-ФЗ.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47"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jc w:val="both"/>
      </w:pPr>
      <w:r>
        <w:rPr>
          <w:sz w:val="20"/>
        </w:rPr>
      </w:r>
    </w:p>
    <w:p>
      <w:pPr>
        <w:pStyle w:val="0"/>
        <w:ind w:firstLine="540"/>
        <w:jc w:val="both"/>
      </w:pPr>
      <w:r>
        <w:rPr>
          <w:sz w:val="20"/>
        </w:rPr>
        <w:t xml:space="preserve">65. В ходе оказания государственной услуги территориальный орган Роскомнадзора формирует и направляет межведомственные запросы:</w:t>
      </w:r>
    </w:p>
    <w:p>
      <w:pPr>
        <w:pStyle w:val="0"/>
        <w:spacing w:before="200" w:line-rule="auto"/>
        <w:ind w:firstLine="540"/>
        <w:jc w:val="both"/>
      </w:pPr>
      <w:r>
        <w:rPr>
          <w:sz w:val="20"/>
        </w:rPr>
        <w:t xml:space="preserve">1) в Федеральную налоговую службу - для подтверждения сведений о судовладельце;</w:t>
      </w:r>
    </w:p>
    <w:p>
      <w:pPr>
        <w:pStyle w:val="0"/>
        <w:spacing w:before="200" w:line-rule="auto"/>
        <w:ind w:firstLine="540"/>
        <w:jc w:val="both"/>
      </w:pPr>
      <w:r>
        <w:rPr>
          <w:sz w:val="20"/>
        </w:rPr>
        <w:t xml:space="preserve">2) в Федеральное казначейство - для подтверждения факта уплаты государственной пошлины;</w:t>
      </w:r>
    </w:p>
    <w:p>
      <w:pPr>
        <w:pStyle w:val="0"/>
        <w:spacing w:before="200" w:line-rule="auto"/>
        <w:ind w:firstLine="540"/>
        <w:jc w:val="both"/>
      </w:pPr>
      <w:r>
        <w:rPr>
          <w:sz w:val="20"/>
        </w:rPr>
        <w:t xml:space="preserve">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pPr>
        <w:pStyle w:val="0"/>
        <w:spacing w:before="200" w:line-rule="auto"/>
        <w:ind w:firstLine="540"/>
        <w:jc w:val="both"/>
      </w:pPr>
      <w:r>
        <w:rPr>
          <w:sz w:val="20"/>
        </w:rPr>
        <w:t xml:space="preserve">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pPr>
        <w:pStyle w:val="0"/>
        <w:spacing w:before="200" w:line-rule="auto"/>
        <w:ind w:firstLine="540"/>
        <w:jc w:val="both"/>
      </w:pPr>
      <w:r>
        <w:rPr>
          <w:sz w:val="20"/>
        </w:rPr>
        <w:t xml:space="preserve">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bookmarkStart w:id="376" w:name="P376"/>
    <w:bookmarkEnd w:id="376"/>
    <w:p>
      <w:pPr>
        <w:pStyle w:val="0"/>
        <w:spacing w:before="200" w:line-rule="auto"/>
        <w:ind w:firstLine="540"/>
        <w:jc w:val="both"/>
      </w:pPr>
      <w:r>
        <w:rPr>
          <w:sz w:val="20"/>
        </w:rPr>
        <w:t xml:space="preserve">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pPr>
        <w:pStyle w:val="0"/>
        <w:jc w:val="both"/>
      </w:pPr>
      <w:r>
        <w:rPr>
          <w:sz w:val="20"/>
        </w:rPr>
        <w:t xml:space="preserve">(в ред. </w:t>
      </w:r>
      <w:hyperlink w:history="0" r:id="rId48"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rPr>
        <w:t xml:space="preserve"> Роскомнадзора от 17.02.2020 N 22)</w:t>
      </w:r>
    </w:p>
    <w:p>
      <w:pPr>
        <w:pStyle w:val="0"/>
        <w:spacing w:before="200" w:line-rule="auto"/>
        <w:ind w:firstLine="540"/>
        <w:jc w:val="both"/>
      </w:pPr>
      <w:r>
        <w:rPr>
          <w:sz w:val="20"/>
        </w:rPr>
        <w:t xml:space="preserve">2) прием заявления к рассмотрению.</w:t>
      </w:r>
    </w:p>
    <w:p>
      <w:pPr>
        <w:pStyle w:val="0"/>
        <w:spacing w:before="200" w:line-rule="auto"/>
        <w:ind w:firstLine="540"/>
        <w:jc w:val="both"/>
      </w:pPr>
      <w:r>
        <w:rPr>
          <w:sz w:val="20"/>
        </w:rPr>
        <w:t xml:space="preserve">67. Возврат документов, предусмотренный </w:t>
      </w:r>
      <w:hyperlink w:history="0" w:anchor="P376" w:tooltip="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
        <w:r>
          <w:rPr>
            <w:sz w:val="20"/>
            <w:color w:val="0000ff"/>
          </w:rPr>
          <w:t xml:space="preserve">подпунктом 1 пункта 66</w:t>
        </w:r>
      </w:hyperlink>
      <w:r>
        <w:rPr>
          <w:sz w:val="20"/>
        </w:rP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pPr>
        <w:pStyle w:val="0"/>
        <w:spacing w:before="200" w:line-rule="auto"/>
        <w:ind w:firstLine="540"/>
        <w:jc w:val="both"/>
      </w:pPr>
      <w:r>
        <w:rPr>
          <w:sz w:val="20"/>
        </w:rPr>
        <w:t xml:space="preserve">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pPr>
        <w:pStyle w:val="0"/>
        <w:spacing w:before="200" w:line-rule="auto"/>
        <w:ind w:firstLine="540"/>
        <w:jc w:val="both"/>
      </w:pPr>
      <w:r>
        <w:rPr>
          <w:sz w:val="20"/>
        </w:rPr>
        <w:t xml:space="preserve">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pPr>
        <w:pStyle w:val="0"/>
        <w:jc w:val="both"/>
      </w:pPr>
      <w:r>
        <w:rPr>
          <w:sz w:val="20"/>
        </w:rPr>
      </w:r>
    </w:p>
    <w:p>
      <w:pPr>
        <w:pStyle w:val="2"/>
        <w:outlineLvl w:val="2"/>
        <w:jc w:val="center"/>
      </w:pPr>
      <w:r>
        <w:rPr>
          <w:sz w:val="20"/>
        </w:rPr>
        <w:t xml:space="preserve">Рассмотрение заявления и принятие решения о выдаче</w:t>
      </w:r>
    </w:p>
    <w:p>
      <w:pPr>
        <w:pStyle w:val="2"/>
        <w:jc w:val="center"/>
      </w:pPr>
      <w:r>
        <w:rPr>
          <w:sz w:val="20"/>
        </w:rPr>
        <w:t xml:space="preserve">разрешения на судовые радиостанции, продлении срока</w:t>
      </w:r>
    </w:p>
    <w:p>
      <w:pPr>
        <w:pStyle w:val="2"/>
        <w:jc w:val="center"/>
      </w:pPr>
      <w:r>
        <w:rPr>
          <w:sz w:val="20"/>
        </w:rPr>
        <w:t xml:space="preserve">действия разрешения на судовые радиостанции, выдаче</w:t>
      </w:r>
    </w:p>
    <w:p>
      <w:pPr>
        <w:pStyle w:val="2"/>
        <w:jc w:val="center"/>
      </w:pPr>
      <w:r>
        <w:rPr>
          <w:sz w:val="20"/>
        </w:rPr>
        <w:t xml:space="preserve">разрешения на судовые радиостанции в случае прекращения</w:t>
      </w:r>
    </w:p>
    <w:p>
      <w:pPr>
        <w:pStyle w:val="2"/>
        <w:jc w:val="center"/>
      </w:pPr>
      <w:r>
        <w:rPr>
          <w:sz w:val="20"/>
        </w:rPr>
        <w:t xml:space="preserve">использования отдельных РЭС в составе судовой радиостанции,</w:t>
      </w:r>
    </w:p>
    <w:p>
      <w:pPr>
        <w:pStyle w:val="2"/>
        <w:jc w:val="center"/>
      </w:pPr>
      <w:r>
        <w:rPr>
          <w:sz w:val="20"/>
        </w:rPr>
        <w:t xml:space="preserve">изменения сведений о судовладельце, утери разрешения</w:t>
      </w:r>
    </w:p>
    <w:p>
      <w:pPr>
        <w:pStyle w:val="2"/>
        <w:jc w:val="center"/>
      </w:pPr>
      <w:r>
        <w:rPr>
          <w:sz w:val="20"/>
        </w:rPr>
        <w:t xml:space="preserve">на судовые радиостанции</w:t>
      </w:r>
    </w:p>
    <w:p>
      <w:pPr>
        <w:pStyle w:val="0"/>
        <w:jc w:val="both"/>
      </w:pPr>
      <w:r>
        <w:rPr>
          <w:sz w:val="20"/>
        </w:rPr>
      </w:r>
    </w:p>
    <w:p>
      <w:pPr>
        <w:pStyle w:val="0"/>
        <w:ind w:firstLine="540"/>
        <w:jc w:val="both"/>
      </w:pPr>
      <w:r>
        <w:rPr>
          <w:sz w:val="20"/>
        </w:rPr>
        <w:t xml:space="preserve">70. Выдача разрешения на судовые радиостанции осуществляется с учетом Заключения радиочастотной службы и производится в следующих случаях:</w:t>
      </w:r>
    </w:p>
    <w:p>
      <w:pPr>
        <w:pStyle w:val="0"/>
        <w:spacing w:before="200" w:line-rule="auto"/>
        <w:ind w:firstLine="540"/>
        <w:jc w:val="both"/>
      </w:pPr>
      <w:r>
        <w:rPr>
          <w:sz w:val="20"/>
        </w:rPr>
        <w:t xml:space="preserve">1) при обращении заявителя о выдаче разрешения на судовые радиостанции;</w:t>
      </w:r>
    </w:p>
    <w:p>
      <w:pPr>
        <w:pStyle w:val="0"/>
        <w:spacing w:before="200" w:line-rule="auto"/>
        <w:ind w:firstLine="540"/>
        <w:jc w:val="both"/>
      </w:pPr>
      <w:r>
        <w:rPr>
          <w:sz w:val="20"/>
        </w:rPr>
        <w:t xml:space="preserve">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pPr>
        <w:pStyle w:val="0"/>
        <w:spacing w:before="200" w:line-rule="auto"/>
        <w:ind w:firstLine="540"/>
        <w:jc w:val="both"/>
      </w:pPr>
      <w:r>
        <w:rPr>
          <w:sz w:val="20"/>
        </w:rPr>
        <w:t xml:space="preserve">3) при изменении названия судна;</w:t>
      </w:r>
    </w:p>
    <w:p>
      <w:pPr>
        <w:pStyle w:val="0"/>
        <w:spacing w:before="200" w:line-rule="auto"/>
        <w:ind w:firstLine="540"/>
        <w:jc w:val="both"/>
      </w:pPr>
      <w:r>
        <w:rPr>
          <w:sz w:val="20"/>
        </w:rPr>
        <w:t xml:space="preserve">4) при изменении наименования порта регистрации судна;</w:t>
      </w:r>
    </w:p>
    <w:p>
      <w:pPr>
        <w:pStyle w:val="0"/>
        <w:spacing w:before="200" w:line-rule="auto"/>
        <w:ind w:firstLine="540"/>
        <w:jc w:val="both"/>
      </w:pPr>
      <w:r>
        <w:rPr>
          <w:sz w:val="20"/>
        </w:rPr>
        <w:t xml:space="preserve">5) при изменении позывных сигналов опознавания;</w:t>
      </w:r>
    </w:p>
    <w:p>
      <w:pPr>
        <w:pStyle w:val="0"/>
        <w:spacing w:before="200" w:line-rule="auto"/>
        <w:ind w:firstLine="540"/>
        <w:jc w:val="both"/>
      </w:pPr>
      <w:r>
        <w:rPr>
          <w:sz w:val="20"/>
        </w:rPr>
        <w:t xml:space="preserve">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bookmarkStart w:id="398" w:name="P398"/>
    <w:bookmarkEnd w:id="398"/>
    <w:p>
      <w:pPr>
        <w:pStyle w:val="0"/>
        <w:spacing w:before="200" w:line-rule="auto"/>
        <w:ind w:firstLine="540"/>
        <w:jc w:val="both"/>
      </w:pPr>
      <w:r>
        <w:rPr>
          <w:sz w:val="20"/>
        </w:rPr>
        <w:t xml:space="preserve">71. Выдача разрешений на судовые радиостанции осуществляется без Заключения радиочастотной службы в следующих случаях:</w:t>
      </w:r>
    </w:p>
    <w:p>
      <w:pPr>
        <w:pStyle w:val="0"/>
        <w:spacing w:before="200" w:line-rule="auto"/>
        <w:ind w:firstLine="540"/>
        <w:jc w:val="both"/>
      </w:pPr>
      <w:r>
        <w:rPr>
          <w:sz w:val="20"/>
        </w:rPr>
        <w:t xml:space="preserve">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pPr>
        <w:pStyle w:val="0"/>
        <w:spacing w:before="200" w:line-rule="auto"/>
        <w:ind w:firstLine="540"/>
        <w:jc w:val="both"/>
      </w:pPr>
      <w:r>
        <w:rPr>
          <w:sz w:val="20"/>
        </w:rPr>
        <w:t xml:space="preserve">2) утеря разрешения на судовые радиостанции;</w:t>
      </w:r>
    </w:p>
    <w:p>
      <w:pPr>
        <w:pStyle w:val="0"/>
        <w:spacing w:before="200" w:line-rule="auto"/>
        <w:ind w:firstLine="540"/>
        <w:jc w:val="both"/>
      </w:pPr>
      <w:r>
        <w:rPr>
          <w:sz w:val="20"/>
        </w:rPr>
        <w:t xml:space="preserve">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pPr>
        <w:pStyle w:val="0"/>
        <w:spacing w:before="200" w:line-rule="auto"/>
        <w:ind w:firstLine="540"/>
        <w:jc w:val="both"/>
      </w:pPr>
      <w:r>
        <w:rPr>
          <w:sz w:val="20"/>
        </w:rPr>
        <w:t xml:space="preserve">4) прекращение использования отдельных РЭС в составе судовой радиостанции;</w:t>
      </w:r>
    </w:p>
    <w:p>
      <w:pPr>
        <w:pStyle w:val="0"/>
        <w:spacing w:before="200" w:line-rule="auto"/>
        <w:ind w:firstLine="540"/>
        <w:jc w:val="both"/>
      </w:pPr>
      <w:r>
        <w:rPr>
          <w:sz w:val="20"/>
        </w:rPr>
        <w:t xml:space="preserve">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pPr>
        <w:pStyle w:val="0"/>
        <w:jc w:val="both"/>
      </w:pPr>
      <w:r>
        <w:rPr>
          <w:sz w:val="20"/>
        </w:rPr>
        <w:t xml:space="preserve">(в ред. </w:t>
      </w:r>
      <w:hyperlink w:history="0" r:id="rId49" w:tooltip="Приказ Роскомнадзора от 17.02.2020 N 22 &quo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 Федеральной службы по надзору в сфере связи, информационных технологий и массовых коммуникаций от 18 декабря 2018 г. N 2 {КонсультантПлюс}">
        <w:r>
          <w:rPr>
            <w:sz w:val="20"/>
            <w:color w:val="0000ff"/>
          </w:rPr>
          <w:t xml:space="preserve">Приказа</w:t>
        </w:r>
      </w:hyperlink>
      <w:r>
        <w:rPr>
          <w:sz w:val="20"/>
        </w:rPr>
        <w:t xml:space="preserve"> Роскомнадзора от 17.02.2020 N 22)</w:t>
      </w:r>
    </w:p>
    <w:p>
      <w:pPr>
        <w:pStyle w:val="0"/>
        <w:spacing w:before="200" w:line-rule="auto"/>
        <w:ind w:firstLine="540"/>
        <w:jc w:val="both"/>
      </w:pPr>
      <w:r>
        <w:rPr>
          <w:sz w:val="20"/>
        </w:rPr>
        <w:t xml:space="preserve">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pPr>
        <w:pStyle w:val="0"/>
        <w:spacing w:before="200" w:line-rule="auto"/>
        <w:ind w:firstLine="540"/>
        <w:jc w:val="both"/>
      </w:pPr>
      <w:r>
        <w:rPr>
          <w:sz w:val="20"/>
        </w:rPr>
        <w:t xml:space="preserve">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pPr>
        <w:pStyle w:val="0"/>
        <w:spacing w:before="200" w:line-rule="auto"/>
        <w:ind w:firstLine="540"/>
        <w:jc w:val="both"/>
      </w:pPr>
      <w:r>
        <w:rPr>
          <w:sz w:val="20"/>
        </w:rPr>
        <w:t xml:space="preserve">1) проверку соответствия сведений, указанных в заявлении:</w:t>
      </w:r>
    </w:p>
    <w:p>
      <w:pPr>
        <w:pStyle w:val="0"/>
        <w:spacing w:before="200" w:line-rule="auto"/>
        <w:ind w:firstLine="540"/>
        <w:jc w:val="both"/>
      </w:pPr>
      <w:r>
        <w:rPr>
          <w:sz w:val="20"/>
        </w:rPr>
        <w:t xml:space="preserve">1.1) сведениям, указанным в Заключении радиочастотной службы;</w:t>
      </w:r>
    </w:p>
    <w:p>
      <w:pPr>
        <w:pStyle w:val="0"/>
        <w:spacing w:before="200" w:line-rule="auto"/>
        <w:ind w:firstLine="540"/>
        <w:jc w:val="both"/>
      </w:pPr>
      <w:r>
        <w:rPr>
          <w:sz w:val="20"/>
        </w:rPr>
        <w:t xml:space="preserve">1.2) условиям, установленным при выделении полосы радиочастот решением государственной комиссии по радиочастотам;</w:t>
      </w:r>
    </w:p>
    <w:p>
      <w:pPr>
        <w:pStyle w:val="0"/>
        <w:spacing w:before="200" w:line-rule="auto"/>
        <w:ind w:firstLine="540"/>
        <w:jc w:val="both"/>
      </w:pPr>
      <w:r>
        <w:rPr>
          <w:sz w:val="20"/>
        </w:rPr>
        <w:t xml:space="preserve">2) проверку на достоверность:</w:t>
      </w:r>
    </w:p>
    <w:p>
      <w:pPr>
        <w:pStyle w:val="0"/>
        <w:spacing w:before="200" w:line-rule="auto"/>
        <w:ind w:firstLine="540"/>
        <w:jc w:val="both"/>
      </w:pPr>
      <w:r>
        <w:rPr>
          <w:sz w:val="20"/>
        </w:rPr>
        <w:t xml:space="preserve">2.1) сведений о судовладельце;</w:t>
      </w:r>
    </w:p>
    <w:p>
      <w:pPr>
        <w:pStyle w:val="0"/>
        <w:spacing w:before="200" w:line-rule="auto"/>
        <w:ind w:firstLine="540"/>
        <w:jc w:val="both"/>
      </w:pPr>
      <w:r>
        <w:rPr>
          <w:sz w:val="20"/>
        </w:rPr>
        <w:t xml:space="preserve">2.2) сведений о праве собственности на судно и сроке действия регистрации судна в Российской Федерации;</w:t>
      </w:r>
    </w:p>
    <w:p>
      <w:pPr>
        <w:pStyle w:val="0"/>
        <w:spacing w:before="200" w:line-rule="auto"/>
        <w:ind w:firstLine="540"/>
        <w:jc w:val="both"/>
      </w:pPr>
      <w:r>
        <w:rPr>
          <w:sz w:val="20"/>
        </w:rPr>
        <w:t xml:space="preserve">2.3) сведений о праве собственности на маломерное судно.</w:t>
      </w:r>
    </w:p>
    <w:p>
      <w:pPr>
        <w:pStyle w:val="0"/>
        <w:spacing w:before="200" w:line-rule="auto"/>
        <w:ind w:firstLine="540"/>
        <w:jc w:val="both"/>
      </w:pPr>
      <w:r>
        <w:rPr>
          <w:sz w:val="20"/>
        </w:rPr>
        <w:t xml:space="preserve">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pPr>
        <w:pStyle w:val="0"/>
        <w:spacing w:before="200" w:line-rule="auto"/>
        <w:ind w:firstLine="540"/>
        <w:jc w:val="both"/>
      </w:pPr>
      <w:r>
        <w:rPr>
          <w:sz w:val="20"/>
        </w:rPr>
        <w:t xml:space="preserve">74. В случае если не установлены основания для отказа в выдаче разрешения на судовые радиостанции, предусмотренные </w:t>
      </w:r>
      <w:hyperlink w:history="0" w:anchor="P185" w:tooltip="30. Основаниями для отказа в выдаче разрешения на судовые радиостанции являются:">
        <w:r>
          <w:rPr>
            <w:sz w:val="20"/>
            <w:color w:val="0000ff"/>
          </w:rPr>
          <w:t xml:space="preserve">пунктом 30</w:t>
        </w:r>
      </w:hyperlink>
      <w:r>
        <w:rPr>
          <w:sz w:val="20"/>
        </w:rPr>
        <w:t xml:space="preserve"> настоящего Регламента, сотрудник осуществляет подготовку проекта решения о выдаче разрешения на судовые радиостанции.</w:t>
      </w:r>
    </w:p>
    <w:p>
      <w:pPr>
        <w:pStyle w:val="0"/>
        <w:spacing w:before="200" w:line-rule="auto"/>
        <w:ind w:firstLine="540"/>
        <w:jc w:val="both"/>
      </w:pPr>
      <w:r>
        <w:rPr>
          <w:sz w:val="20"/>
        </w:rPr>
        <w:t xml:space="preserve">75. В случае если установлены основания для отказа в выдаче разрешения на судовые радиостанции, предусмотренные </w:t>
      </w:r>
      <w:hyperlink w:history="0" w:anchor="P185" w:tooltip="30. Основаниями для отказа в выдаче разрешения на судовые радиостанции являются:">
        <w:r>
          <w:rPr>
            <w:sz w:val="20"/>
            <w:color w:val="0000ff"/>
          </w:rPr>
          <w:t xml:space="preserve">пунктом 30</w:t>
        </w:r>
      </w:hyperlink>
      <w:r>
        <w:rPr>
          <w:sz w:val="20"/>
        </w:rPr>
        <w:t xml:space="preserve"> настоящего Регламента, сотрудник осуществляет подготовку проекта решения об отказе в выдаче разрешения на судовые радиостанции.</w:t>
      </w:r>
    </w:p>
    <w:p>
      <w:pPr>
        <w:pStyle w:val="0"/>
        <w:spacing w:before="200" w:line-rule="auto"/>
        <w:ind w:firstLine="540"/>
        <w:jc w:val="both"/>
      </w:pPr>
      <w:r>
        <w:rPr>
          <w:sz w:val="20"/>
        </w:rPr>
        <w:t xml:space="preserve">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pPr>
        <w:pStyle w:val="0"/>
        <w:spacing w:before="200" w:line-rule="auto"/>
        <w:ind w:firstLine="540"/>
        <w:jc w:val="both"/>
      </w:pPr>
      <w:r>
        <w:rPr>
          <w:sz w:val="20"/>
        </w:rPr>
        <w:t xml:space="preserve">1) проверку соответствия сведений, указанных в заявлении:</w:t>
      </w:r>
    </w:p>
    <w:p>
      <w:pPr>
        <w:pStyle w:val="0"/>
        <w:spacing w:before="200" w:line-rule="auto"/>
        <w:ind w:firstLine="540"/>
        <w:jc w:val="both"/>
      </w:pPr>
      <w:r>
        <w:rPr>
          <w:sz w:val="20"/>
        </w:rPr>
        <w:t xml:space="preserve">1.1) сведениям, указанным в переоформляемом разрешении на судовые радиостанции;</w:t>
      </w:r>
    </w:p>
    <w:p>
      <w:pPr>
        <w:pStyle w:val="0"/>
        <w:spacing w:before="200" w:line-rule="auto"/>
        <w:ind w:firstLine="540"/>
        <w:jc w:val="both"/>
      </w:pPr>
      <w:r>
        <w:rPr>
          <w:sz w:val="20"/>
        </w:rPr>
        <w:t xml:space="preserve">1.2) условиям, установленным при выделении полосы радиочастот решением государственной комиссии по радиочастотам;</w:t>
      </w:r>
    </w:p>
    <w:p>
      <w:pPr>
        <w:pStyle w:val="0"/>
        <w:spacing w:before="200" w:line-rule="auto"/>
        <w:ind w:firstLine="540"/>
        <w:jc w:val="both"/>
      </w:pPr>
      <w:r>
        <w:rPr>
          <w:sz w:val="20"/>
        </w:rPr>
        <w:t xml:space="preserve">2) проверку на достоверность:</w:t>
      </w:r>
    </w:p>
    <w:p>
      <w:pPr>
        <w:pStyle w:val="0"/>
        <w:spacing w:before="200" w:line-rule="auto"/>
        <w:ind w:firstLine="540"/>
        <w:jc w:val="both"/>
      </w:pPr>
      <w:r>
        <w:rPr>
          <w:sz w:val="20"/>
        </w:rPr>
        <w:t xml:space="preserve">2.1) сведений о судовладельце;</w:t>
      </w:r>
    </w:p>
    <w:p>
      <w:pPr>
        <w:pStyle w:val="0"/>
        <w:spacing w:before="200" w:line-rule="auto"/>
        <w:ind w:firstLine="540"/>
        <w:jc w:val="both"/>
      </w:pPr>
      <w:r>
        <w:rPr>
          <w:sz w:val="20"/>
        </w:rPr>
        <w:t xml:space="preserve">2.2) сведений о праве собственности на судно и сроке действия регистрации судна в Российской Федерации;</w:t>
      </w:r>
    </w:p>
    <w:p>
      <w:pPr>
        <w:pStyle w:val="0"/>
        <w:spacing w:before="200" w:line-rule="auto"/>
        <w:ind w:firstLine="540"/>
        <w:jc w:val="both"/>
      </w:pPr>
      <w:r>
        <w:rPr>
          <w:sz w:val="20"/>
        </w:rPr>
        <w:t xml:space="preserve">2.3) сведений о праве собственности на маломерное судно.</w:t>
      </w:r>
    </w:p>
    <w:p>
      <w:pPr>
        <w:pStyle w:val="0"/>
        <w:spacing w:before="200" w:line-rule="auto"/>
        <w:ind w:firstLine="540"/>
        <w:jc w:val="both"/>
      </w:pPr>
      <w:r>
        <w:rPr>
          <w:sz w:val="20"/>
        </w:rPr>
        <w:t xml:space="preserve">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pPr>
        <w:pStyle w:val="0"/>
        <w:spacing w:before="200" w:line-rule="auto"/>
        <w:ind w:firstLine="540"/>
        <w:jc w:val="both"/>
      </w:pPr>
      <w:r>
        <w:rPr>
          <w:sz w:val="20"/>
        </w:rPr>
        <w:t xml:space="preserve">78. В случае если не установлены основания для отказа в выдаче разрешения на судовые радиостанции, предусмотренные </w:t>
      </w:r>
      <w:hyperlink w:history="0" w:anchor="P185" w:tooltip="30. Основаниями для отказа в выдаче разрешения на судовые радиостанции являются:">
        <w:r>
          <w:rPr>
            <w:sz w:val="20"/>
            <w:color w:val="0000ff"/>
          </w:rPr>
          <w:t xml:space="preserve">пунктом 30</w:t>
        </w:r>
      </w:hyperlink>
      <w:r>
        <w:rPr>
          <w:sz w:val="20"/>
        </w:rPr>
        <w:t xml:space="preserve"> настоящего Регламента, сотрудник осуществляет подготовку проекта решения о выдаче разрешения на судовые радиостанции.</w:t>
      </w:r>
    </w:p>
    <w:p>
      <w:pPr>
        <w:pStyle w:val="0"/>
        <w:spacing w:before="200" w:line-rule="auto"/>
        <w:ind w:firstLine="540"/>
        <w:jc w:val="both"/>
      </w:pPr>
      <w:r>
        <w:rPr>
          <w:sz w:val="20"/>
        </w:rPr>
        <w:t xml:space="preserve">79. В случае если установлены основания для отказа в выдаче разрешения на судовые радиостанции, предусмотренные </w:t>
      </w:r>
      <w:hyperlink w:history="0" w:anchor="P185" w:tooltip="30. Основаниями для отказа в выдаче разрешения на судовые радиостанции являются:">
        <w:r>
          <w:rPr>
            <w:sz w:val="20"/>
            <w:color w:val="0000ff"/>
          </w:rPr>
          <w:t xml:space="preserve">пунктом 30</w:t>
        </w:r>
      </w:hyperlink>
      <w:r>
        <w:rPr>
          <w:sz w:val="20"/>
        </w:rPr>
        <w:t xml:space="preserve"> настоящего Регламента, сотрудник осуществляет подготовку проекта решения об отказе в выдаче разрешения на судовые радиостанции.</w:t>
      </w:r>
    </w:p>
    <w:p>
      <w:pPr>
        <w:pStyle w:val="0"/>
        <w:spacing w:before="200" w:line-rule="auto"/>
        <w:ind w:firstLine="540"/>
        <w:jc w:val="both"/>
      </w:pPr>
      <w:r>
        <w:rPr>
          <w:sz w:val="20"/>
        </w:rPr>
        <w:t xml:space="preserve">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pPr>
        <w:pStyle w:val="0"/>
        <w:spacing w:before="200" w:line-rule="auto"/>
        <w:ind w:firstLine="540"/>
        <w:jc w:val="both"/>
      </w:pPr>
      <w:r>
        <w:rPr>
          <w:sz w:val="20"/>
        </w:rPr>
        <w:t xml:space="preserve">1) сведений о судовладельце;</w:t>
      </w:r>
    </w:p>
    <w:p>
      <w:pPr>
        <w:pStyle w:val="0"/>
        <w:spacing w:before="200" w:line-rule="auto"/>
        <w:ind w:firstLine="540"/>
        <w:jc w:val="both"/>
      </w:pPr>
      <w:r>
        <w:rPr>
          <w:sz w:val="20"/>
        </w:rPr>
        <w:t xml:space="preserve">2) сведений о праве собственности на судно и сроке действия регистрации судна в Российской Федерации;</w:t>
      </w:r>
    </w:p>
    <w:p>
      <w:pPr>
        <w:pStyle w:val="0"/>
        <w:spacing w:before="200" w:line-rule="auto"/>
        <w:ind w:firstLine="540"/>
        <w:jc w:val="both"/>
      </w:pPr>
      <w:r>
        <w:rPr>
          <w:sz w:val="20"/>
        </w:rPr>
        <w:t xml:space="preserve">3) сведений о праве собственности на маломерное судно.</w:t>
      </w:r>
    </w:p>
    <w:p>
      <w:pPr>
        <w:pStyle w:val="0"/>
        <w:spacing w:before="200" w:line-rule="auto"/>
        <w:ind w:firstLine="540"/>
        <w:jc w:val="both"/>
      </w:pPr>
      <w:r>
        <w:rPr>
          <w:sz w:val="20"/>
        </w:rPr>
        <w:t xml:space="preserve">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pPr>
        <w:pStyle w:val="0"/>
        <w:spacing w:before="200" w:line-rule="auto"/>
        <w:ind w:firstLine="540"/>
        <w:jc w:val="both"/>
      </w:pPr>
      <w:r>
        <w:rPr>
          <w:sz w:val="20"/>
        </w:rPr>
        <w:t xml:space="preserve">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сроки действия которых истекают (истекли) с 15.03.2020 по 31.12.2020, продлены на 12 месяцев (</w:t>
            </w:r>
            <w:hyperlink w:history="0" r:id="rId50"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Разрешение на судовые радиостанции выдается на срок до 10 лет с учетом:</w:t>
      </w:r>
    </w:p>
    <w:p>
      <w:pPr>
        <w:pStyle w:val="0"/>
        <w:spacing w:before="200" w:line-rule="auto"/>
        <w:ind w:firstLine="540"/>
        <w:jc w:val="both"/>
      </w:pPr>
      <w:r>
        <w:rPr>
          <w:sz w:val="20"/>
        </w:rPr>
        <w:t xml:space="preserve">1) срока действия регистрации судна в Российской Федерации;</w:t>
      </w:r>
    </w:p>
    <w:p>
      <w:pPr>
        <w:pStyle w:val="0"/>
        <w:spacing w:before="200" w:line-rule="auto"/>
        <w:ind w:firstLine="540"/>
        <w:jc w:val="both"/>
      </w:pPr>
      <w:r>
        <w:rPr>
          <w:sz w:val="20"/>
        </w:rPr>
        <w:t xml:space="preserve">2) срока действия договора аренды судна или других документов, подтверждающих право на эксплуатацию судна.</w:t>
      </w:r>
    </w:p>
    <w:p>
      <w:pPr>
        <w:pStyle w:val="0"/>
        <w:spacing w:before="200" w:line-rule="auto"/>
        <w:ind w:firstLine="540"/>
        <w:jc w:val="both"/>
      </w:pPr>
      <w:r>
        <w:rPr>
          <w:sz w:val="20"/>
        </w:rPr>
        <w:t xml:space="preserve">84. Разрешение на судовые радиостанции с целью проведения ходовых испытаний выдается сроком до одного года.</w:t>
      </w:r>
    </w:p>
    <w:bookmarkStart w:id="440" w:name="P440"/>
    <w:bookmarkEnd w:id="440"/>
    <w:p>
      <w:pPr>
        <w:pStyle w:val="0"/>
        <w:spacing w:before="200" w:line-rule="auto"/>
        <w:ind w:firstLine="540"/>
        <w:jc w:val="both"/>
      </w:pPr>
      <w:r>
        <w:rPr>
          <w:sz w:val="20"/>
        </w:rPr>
        <w:t xml:space="preserve">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pPr>
        <w:pStyle w:val="0"/>
        <w:spacing w:before="200" w:line-rule="auto"/>
        <w:ind w:firstLine="540"/>
        <w:jc w:val="both"/>
      </w:pPr>
      <w:r>
        <w:rPr>
          <w:sz w:val="20"/>
        </w:rPr>
        <w:t xml:space="preserve">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pPr>
        <w:pStyle w:val="0"/>
        <w:spacing w:before="200" w:line-rule="auto"/>
        <w:ind w:firstLine="540"/>
        <w:jc w:val="both"/>
      </w:pPr>
      <w:r>
        <w:rPr>
          <w:sz w:val="20"/>
        </w:rPr>
        <w:t xml:space="preserve">1) сведений о судовладельце;</w:t>
      </w:r>
    </w:p>
    <w:p>
      <w:pPr>
        <w:pStyle w:val="0"/>
        <w:spacing w:before="200" w:line-rule="auto"/>
        <w:ind w:firstLine="540"/>
        <w:jc w:val="both"/>
      </w:pPr>
      <w:r>
        <w:rPr>
          <w:sz w:val="20"/>
        </w:rPr>
        <w:t xml:space="preserve">2) сведений о праве собственности на судно и сроке действия регистрации судна в Российской Федерации;</w:t>
      </w:r>
    </w:p>
    <w:p>
      <w:pPr>
        <w:pStyle w:val="0"/>
        <w:spacing w:before="200" w:line-rule="auto"/>
        <w:ind w:firstLine="540"/>
        <w:jc w:val="both"/>
      </w:pPr>
      <w:r>
        <w:rPr>
          <w:sz w:val="20"/>
        </w:rPr>
        <w:t xml:space="preserve">3) сведений о праве собственности на маломерное судно.</w:t>
      </w:r>
    </w:p>
    <w:p>
      <w:pPr>
        <w:pStyle w:val="0"/>
        <w:jc w:val="both"/>
      </w:pPr>
      <w:r>
        <w:rPr>
          <w:sz w:val="20"/>
        </w:rPr>
      </w:r>
    </w:p>
    <w:p>
      <w:pPr>
        <w:pStyle w:val="2"/>
        <w:outlineLvl w:val="2"/>
        <w:jc w:val="center"/>
      </w:pPr>
      <w:r>
        <w:rPr>
          <w:sz w:val="20"/>
        </w:rPr>
        <w:t xml:space="preserve">Оформление и выдача разрешения на судовые радиостанции,</w:t>
      </w:r>
    </w:p>
    <w:p>
      <w:pPr>
        <w:pStyle w:val="2"/>
        <w:jc w:val="center"/>
      </w:pPr>
      <w:r>
        <w:rPr>
          <w:sz w:val="20"/>
        </w:rPr>
        <w:t xml:space="preserve">извещения об отказе в предоставлении государственной услуги</w:t>
      </w:r>
    </w:p>
    <w:p>
      <w:pPr>
        <w:pStyle w:val="2"/>
        <w:jc w:val="center"/>
      </w:pPr>
      <w:r>
        <w:rPr>
          <w:sz w:val="20"/>
        </w:rPr>
        <w:t xml:space="preserve">или извещения о принятии решения о прекращении действия</w:t>
      </w:r>
    </w:p>
    <w:p>
      <w:pPr>
        <w:pStyle w:val="2"/>
        <w:jc w:val="center"/>
      </w:pPr>
      <w:r>
        <w:rPr>
          <w:sz w:val="20"/>
        </w:rPr>
        <w:t xml:space="preserve">разрешения на судовые радиостанции</w:t>
      </w:r>
    </w:p>
    <w:p>
      <w:pPr>
        <w:pStyle w:val="0"/>
        <w:jc w:val="both"/>
      </w:pPr>
      <w:r>
        <w:rPr>
          <w:sz w:val="20"/>
        </w:rPr>
      </w:r>
    </w:p>
    <w:p>
      <w:pPr>
        <w:pStyle w:val="0"/>
        <w:ind w:firstLine="540"/>
        <w:jc w:val="both"/>
      </w:pPr>
      <w:r>
        <w:rPr>
          <w:sz w:val="20"/>
        </w:rPr>
        <w:t xml:space="preserve">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bookmarkStart w:id="452" w:name="P452"/>
    <w:bookmarkEnd w:id="452"/>
    <w:p>
      <w:pPr>
        <w:pStyle w:val="0"/>
        <w:spacing w:before="200" w:line-rule="auto"/>
        <w:ind w:firstLine="540"/>
        <w:jc w:val="both"/>
      </w:pPr>
      <w:r>
        <w:rPr>
          <w:sz w:val="20"/>
        </w:rPr>
        <w:t xml:space="preserve">88. В зависимости от формы обращения направление извещений и решений осуществляется в следующем порядке:</w:t>
      </w:r>
    </w:p>
    <w:p>
      <w:pPr>
        <w:pStyle w:val="0"/>
        <w:spacing w:before="200" w:line-rule="auto"/>
        <w:ind w:firstLine="540"/>
        <w:jc w:val="both"/>
      </w:pPr>
      <w:r>
        <w:rPr>
          <w:sz w:val="20"/>
        </w:rPr>
        <w:t xml:space="preserve">1) в электронном виде в личный кабинет на Едином портале по всем заявлениям, поступившим с Единого портала;</w:t>
      </w:r>
    </w:p>
    <w:p>
      <w:pPr>
        <w:pStyle w:val="0"/>
        <w:spacing w:before="200" w:line-rule="auto"/>
        <w:ind w:firstLine="540"/>
        <w:jc w:val="both"/>
      </w:pPr>
      <w:r>
        <w:rPr>
          <w:sz w:val="20"/>
        </w:rPr>
        <w:t xml:space="preserve">2) на почтовый адрес заявителя на основании:</w:t>
      </w:r>
    </w:p>
    <w:p>
      <w:pPr>
        <w:pStyle w:val="0"/>
        <w:spacing w:before="200" w:line-rule="auto"/>
        <w:ind w:firstLine="540"/>
        <w:jc w:val="both"/>
      </w:pPr>
      <w:r>
        <w:rPr>
          <w:sz w:val="20"/>
        </w:rPr>
        <w:t xml:space="preserve">2.1) выбранного способа получения в поле "Способ получения результата" на Едином портале;</w:t>
      </w:r>
    </w:p>
    <w:p>
      <w:pPr>
        <w:pStyle w:val="0"/>
        <w:spacing w:before="200" w:line-rule="auto"/>
        <w:ind w:firstLine="540"/>
        <w:jc w:val="both"/>
      </w:pPr>
      <w:r>
        <w:rPr>
          <w:sz w:val="20"/>
        </w:rPr>
        <w:t xml:space="preserve">2.2) указанного почтового адреса заявителя в заявлении, поданном в территориальный орган Роскомнадзора на бумажном носителе;</w:t>
      </w:r>
    </w:p>
    <w:p>
      <w:pPr>
        <w:pStyle w:val="0"/>
        <w:spacing w:before="200" w:line-rule="auto"/>
        <w:ind w:firstLine="540"/>
        <w:jc w:val="both"/>
      </w:pPr>
      <w:r>
        <w:rPr>
          <w:sz w:val="20"/>
        </w:rPr>
        <w:t xml:space="preserve">3) заявителю лично на руки.</w:t>
      </w:r>
    </w:p>
    <w:p>
      <w:pPr>
        <w:pStyle w:val="0"/>
        <w:spacing w:before="200" w:line-rule="auto"/>
        <w:ind w:firstLine="540"/>
        <w:jc w:val="both"/>
      </w:pPr>
      <w:r>
        <w:rPr>
          <w:sz w:val="20"/>
        </w:rPr>
        <w:t xml:space="preserve">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pPr>
        <w:pStyle w:val="0"/>
        <w:spacing w:before="200" w:line-rule="auto"/>
        <w:ind w:firstLine="540"/>
        <w:jc w:val="both"/>
      </w:pPr>
      <w:r>
        <w:rPr>
          <w:sz w:val="20"/>
        </w:rPr>
        <w:t xml:space="preserve">1) обращение с указанием опечаток и (или) ошибок, допущенных в документах, выданных в результате предоставления государственной услуги;</w:t>
      </w:r>
    </w:p>
    <w:p>
      <w:pPr>
        <w:pStyle w:val="0"/>
        <w:spacing w:before="200" w:line-rule="auto"/>
        <w:ind w:firstLine="540"/>
        <w:jc w:val="both"/>
      </w:pPr>
      <w:r>
        <w:rPr>
          <w:sz w:val="20"/>
        </w:rP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history="0" w:anchor="P440" w:tooltip="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
        <w:r>
          <w:rPr>
            <w:sz w:val="20"/>
            <w:color w:val="0000ff"/>
          </w:rPr>
          <w:t xml:space="preserve">пунктом 85</w:t>
        </w:r>
      </w:hyperlink>
      <w:r>
        <w:rPr>
          <w:sz w:val="20"/>
        </w:rPr>
        <w:t xml:space="preserve"> настоящего Регламента).</w:t>
      </w:r>
    </w:p>
    <w:p>
      <w:pPr>
        <w:pStyle w:val="0"/>
        <w:spacing w:before="200" w:line-rule="auto"/>
        <w:ind w:firstLine="540"/>
        <w:jc w:val="both"/>
      </w:pPr>
      <w:r>
        <w:rPr>
          <w:sz w:val="20"/>
        </w:rPr>
        <w:t xml:space="preserve">91. Рассмотрение обращения производится в течение 10 рабочих дней.</w:t>
      </w:r>
    </w:p>
    <w:p>
      <w:pPr>
        <w:pStyle w:val="0"/>
        <w:spacing w:before="200" w:line-rule="auto"/>
        <w:ind w:firstLine="540"/>
        <w:jc w:val="both"/>
      </w:pPr>
      <w:r>
        <w:rPr>
          <w:sz w:val="20"/>
        </w:rPr>
        <w:t xml:space="preserve">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pPr>
        <w:pStyle w:val="0"/>
        <w:spacing w:before="200" w:line-rule="auto"/>
        <w:ind w:firstLine="540"/>
        <w:jc w:val="both"/>
      </w:pPr>
      <w:r>
        <w:rPr>
          <w:sz w:val="20"/>
        </w:rP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history="0" w:anchor="P452" w:tooltip="88. В зависимости от формы обращения направление извещений и решений осуществляется в следующем порядке:">
        <w:r>
          <w:rPr>
            <w:sz w:val="20"/>
            <w:color w:val="0000ff"/>
          </w:rPr>
          <w:t xml:space="preserve">пунктом 88</w:t>
        </w:r>
      </w:hyperlink>
      <w:r>
        <w:rPr>
          <w:sz w:val="20"/>
        </w:rPr>
        <w:t xml:space="preserve"> настоящего Регламента.</w:t>
      </w:r>
    </w:p>
    <w:p>
      <w:pPr>
        <w:pStyle w:val="0"/>
        <w:spacing w:before="200" w:line-rule="auto"/>
        <w:ind w:firstLine="540"/>
        <w:jc w:val="both"/>
      </w:pPr>
      <w:r>
        <w:rPr>
          <w:sz w:val="20"/>
        </w:rPr>
        <w:t xml:space="preserve">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pPr>
        <w:pStyle w:val="0"/>
        <w:jc w:val="both"/>
      </w:pPr>
      <w:r>
        <w:rPr>
          <w:sz w:val="20"/>
        </w:rPr>
      </w:r>
    </w:p>
    <w:p>
      <w:pPr>
        <w:pStyle w:val="2"/>
        <w:outlineLvl w:val="1"/>
        <w:jc w:val="center"/>
      </w:pPr>
      <w:r>
        <w:rPr>
          <w:sz w:val="20"/>
        </w:rPr>
        <w:t xml:space="preserve">IV. Формы контроля за исполнением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pPr>
        <w:pStyle w:val="0"/>
        <w:spacing w:before="200" w:line-rule="auto"/>
        <w:ind w:firstLine="540"/>
        <w:jc w:val="both"/>
      </w:pPr>
      <w:r>
        <w:rPr>
          <w:sz w:val="20"/>
        </w:rPr>
        <w:t xml:space="preserve">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pPr>
        <w:pStyle w:val="0"/>
        <w:spacing w:before="200" w:line-rule="auto"/>
        <w:ind w:firstLine="540"/>
        <w:jc w:val="both"/>
      </w:pPr>
      <w:r>
        <w:rPr>
          <w:sz w:val="20"/>
        </w:rPr>
        <w:t xml:space="preserve">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98. Контроль за полнотой и качеством предоставления государственной услуги осуществляется в форме проведения проверок.</w:t>
      </w:r>
    </w:p>
    <w:p>
      <w:pPr>
        <w:pStyle w:val="0"/>
        <w:spacing w:before="200" w:line-rule="auto"/>
        <w:ind w:firstLine="540"/>
        <w:jc w:val="both"/>
      </w:pPr>
      <w:r>
        <w:rPr>
          <w:sz w:val="20"/>
        </w:rPr>
        <w:t xml:space="preserve">99. Проверки полноты и качества предоставления государственной услуги могут быть плановыми и внеплановыми.</w:t>
      </w:r>
    </w:p>
    <w:p>
      <w:pPr>
        <w:pStyle w:val="0"/>
        <w:spacing w:before="200" w:line-rule="auto"/>
        <w:ind w:firstLine="540"/>
        <w:jc w:val="both"/>
      </w:pPr>
      <w:r>
        <w:rPr>
          <w:sz w:val="20"/>
        </w:rPr>
        <w:t xml:space="preserve">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pPr>
        <w:pStyle w:val="0"/>
        <w:spacing w:before="200" w:line-rule="auto"/>
        <w:ind w:firstLine="540"/>
        <w:jc w:val="both"/>
      </w:pPr>
      <w:r>
        <w:rPr>
          <w:sz w:val="20"/>
        </w:rPr>
        <w:t xml:space="preserve">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pPr>
        <w:pStyle w:val="0"/>
        <w:spacing w:before="200" w:line-rule="auto"/>
        <w:ind w:firstLine="540"/>
        <w:jc w:val="both"/>
      </w:pPr>
      <w:r>
        <w:rPr>
          <w:sz w:val="20"/>
        </w:rPr>
        <w:t xml:space="preserve">1) получения информации от граждан, юридических лиц, органов государственной власти или местного самоуправления о соответствующих нарушениях;</w:t>
      </w:r>
    </w:p>
    <w:p>
      <w:pPr>
        <w:pStyle w:val="0"/>
        <w:spacing w:before="200" w:line-rule="auto"/>
        <w:ind w:firstLine="540"/>
        <w:jc w:val="both"/>
      </w:pPr>
      <w:r>
        <w:rPr>
          <w:sz w:val="20"/>
        </w:rPr>
        <w:t xml:space="preserve">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органа,</w:t>
      </w:r>
    </w:p>
    <w:p>
      <w:pPr>
        <w:pStyle w:val="2"/>
        <w:jc w:val="center"/>
      </w:pPr>
      <w:r>
        <w:rPr>
          <w:sz w:val="20"/>
        </w:rPr>
        <w:t xml:space="preserve">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104. Граждане, их объединения и организации также вправе:</w:t>
      </w:r>
    </w:p>
    <w:p>
      <w:pPr>
        <w:pStyle w:val="0"/>
        <w:spacing w:before="200" w:line-rule="auto"/>
        <w:ind w:firstLine="540"/>
        <w:jc w:val="both"/>
      </w:pPr>
      <w:r>
        <w:rPr>
          <w:sz w:val="20"/>
        </w:rPr>
        <w:t xml:space="preserve">1) 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2) вносить предложения о мерах по устранению нарушений настоящего Регламента.</w:t>
      </w:r>
    </w:p>
    <w:p>
      <w:pPr>
        <w:pStyle w:val="0"/>
        <w:spacing w:before="200" w:line-rule="auto"/>
        <w:ind w:firstLine="540"/>
        <w:jc w:val="both"/>
      </w:pPr>
      <w:r>
        <w:rPr>
          <w:sz w:val="20"/>
        </w:rPr>
        <w:t xml:space="preserve">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органов, предоставляющих</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107. Жалобы на решения, принятые руководителями территориальных органов Роскомнадзора, подаются в Роскомнадзор.</w:t>
      </w:r>
    </w:p>
    <w:p>
      <w:pPr>
        <w:pStyle w:val="0"/>
        <w:spacing w:before="200" w:line-rule="auto"/>
        <w:ind w:firstLine="540"/>
        <w:jc w:val="both"/>
      </w:pPr>
      <w:r>
        <w:rPr>
          <w:sz w:val="20"/>
        </w:rPr>
        <w:t xml:space="preserve">108. Жалоба на решение или действия (бездействие) заместителя руководителя Роскомнадзора может быть направлена руководителю Роскомнадзора.</w:t>
      </w:r>
    </w:p>
    <w:p>
      <w:pPr>
        <w:pStyle w:val="0"/>
        <w:spacing w:before="200" w:line-rule="auto"/>
        <w:ind w:firstLine="540"/>
        <w:jc w:val="both"/>
      </w:pPr>
      <w:r>
        <w:rPr>
          <w:sz w:val="20"/>
        </w:rPr>
        <w:t xml:space="preserve">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pPr>
        <w:pStyle w:val="0"/>
        <w:spacing w:before="200" w:line-rule="auto"/>
        <w:ind w:firstLine="540"/>
        <w:jc w:val="both"/>
      </w:pPr>
      <w:r>
        <w:rPr>
          <w:sz w:val="20"/>
        </w:rPr>
        <w:t xml:space="preserve">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pPr>
        <w:pStyle w:val="0"/>
        <w:spacing w:before="200" w:line-rule="auto"/>
        <w:ind w:firstLine="540"/>
        <w:jc w:val="both"/>
      </w:pPr>
      <w:r>
        <w:rPr>
          <w:sz w:val="20"/>
        </w:rPr>
        <w:t xml:space="preserve">1) </w:t>
      </w:r>
      <w:hyperlink w:history="0" r:id="rId51"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2) </w:t>
      </w:r>
      <w:hyperlink w:history="0" r:id="rId5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w:history="0" r:id="rId53" w:tooltip="Федеральный закон от 27.07.2010 N 210-ФЗ (ред. от 29.07.2018)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Собрание законодательства Российской Федерации, 2012, N 35, ст. 4829; 2014, N 50, ст. 7113; 2015, N 47, ст. 6596; 2016, N 51, ст. 7370; 2017, N 44, ст. 6523; 2018, N 25, ст. 3696.</w:t>
      </w:r>
    </w:p>
    <w:p>
      <w:pPr>
        <w:pStyle w:val="0"/>
        <w:jc w:val="both"/>
      </w:pPr>
      <w:r>
        <w:rPr>
          <w:sz w:val="20"/>
        </w:rPr>
      </w:r>
    </w:p>
    <w:p>
      <w:pPr>
        <w:pStyle w:val="0"/>
        <w:ind w:firstLine="540"/>
        <w:jc w:val="both"/>
      </w:pPr>
      <w:r>
        <w:rPr>
          <w:sz w:val="20"/>
        </w:rPr>
        <w:t xml:space="preserve">3) </w:t>
      </w:r>
      <w:hyperlink w:history="0" r:id="rId5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2012, N 48, ст. 6706; 2013, N 52, ст. 7218; 2015, N 2, ст. 518; 2018, N 49, ст. 7600.</w:t>
      </w:r>
    </w:p>
    <w:p>
      <w:pPr>
        <w:pStyle w:val="0"/>
        <w:jc w:val="both"/>
      </w:pPr>
      <w:r>
        <w:rPr>
          <w:sz w:val="20"/>
        </w:rPr>
      </w:r>
    </w:p>
    <w:p>
      <w:pPr>
        <w:pStyle w:val="0"/>
        <w:ind w:firstLine="540"/>
        <w:jc w:val="both"/>
      </w:pPr>
      <w:r>
        <w:rPr>
          <w:sz w:val="20"/>
        </w:rPr>
        <w:t xml:space="preserve">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Федеральной</w:t>
      </w:r>
    </w:p>
    <w:p>
      <w:pPr>
        <w:pStyle w:val="0"/>
        <w:jc w:val="right"/>
      </w:pPr>
      <w:r>
        <w:rPr>
          <w:sz w:val="20"/>
        </w:rPr>
        <w:t xml:space="preserve">службой 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государственной услуги</w:t>
      </w:r>
    </w:p>
    <w:p>
      <w:pPr>
        <w:pStyle w:val="0"/>
        <w:jc w:val="right"/>
      </w:pPr>
      <w:r>
        <w:rPr>
          <w:sz w:val="20"/>
        </w:rPr>
        <w:t xml:space="preserve">по выдаче разрешений</w:t>
      </w:r>
    </w:p>
    <w:p>
      <w:pPr>
        <w:pStyle w:val="0"/>
        <w:jc w:val="right"/>
      </w:pPr>
      <w:r>
        <w:rPr>
          <w:sz w:val="20"/>
        </w:rPr>
        <w:t xml:space="preserve">на судовые радиостанции,</w:t>
      </w:r>
    </w:p>
    <w:p>
      <w:pPr>
        <w:pStyle w:val="0"/>
        <w:jc w:val="right"/>
      </w:pPr>
      <w:r>
        <w:rPr>
          <w:sz w:val="20"/>
        </w:rPr>
        <w:t xml:space="preserve">используемые на морских</w:t>
      </w:r>
    </w:p>
    <w:p>
      <w:pPr>
        <w:pStyle w:val="0"/>
        <w:jc w:val="right"/>
      </w:pPr>
      <w:r>
        <w:rPr>
          <w:sz w:val="20"/>
        </w:rPr>
        <w:t xml:space="preserve">судах, судах внутреннего</w:t>
      </w:r>
    </w:p>
    <w:p>
      <w:pPr>
        <w:pStyle w:val="0"/>
        <w:jc w:val="right"/>
      </w:pPr>
      <w:r>
        <w:rPr>
          <w:sz w:val="20"/>
        </w:rPr>
        <w:t xml:space="preserve">плавания и судах смешанного</w:t>
      </w:r>
    </w:p>
    <w:p>
      <w:pPr>
        <w:pStyle w:val="0"/>
        <w:jc w:val="right"/>
      </w:pPr>
      <w:r>
        <w:rPr>
          <w:sz w:val="20"/>
        </w:rPr>
        <w:t xml:space="preserve">(река-море) плавания,</w:t>
      </w:r>
    </w:p>
    <w:p>
      <w:pPr>
        <w:pStyle w:val="0"/>
        <w:jc w:val="right"/>
      </w:pPr>
      <w:r>
        <w:rPr>
          <w:sz w:val="20"/>
        </w:rPr>
        <w:t xml:space="preserve">утвержденному приказом Роскомнадзора</w:t>
      </w:r>
    </w:p>
    <w:p>
      <w:pPr>
        <w:pStyle w:val="0"/>
        <w:jc w:val="right"/>
      </w:pPr>
      <w:r>
        <w:rPr>
          <w:sz w:val="20"/>
        </w:rPr>
        <w:t xml:space="preserve">от 18.12.2018 N 201</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В Управление Федеральной службы по надзору в сфере связи, информационных технологий и массовых коммуникаций по</w:t>
            </w:r>
          </w:p>
          <w:p>
            <w:pPr>
              <w:pStyle w:val="0"/>
            </w:pPr>
            <w:r>
              <w:rPr>
                <w:sz w:val="20"/>
              </w:rPr>
              <w:t xml:space="preserve">________________________________</w:t>
            </w:r>
          </w:p>
          <w:p>
            <w:pPr>
              <w:pStyle w:val="0"/>
            </w:pPr>
            <w:r>
              <w:rPr>
                <w:sz w:val="20"/>
              </w:rPr>
              <w:t xml:space="preserve">(наименование территориального управления Роскомнадзора)</w:t>
            </w:r>
          </w:p>
        </w:tc>
      </w:tr>
      <w:tr>
        <w:tc>
          <w:tcPr>
            <w:tcW w:w="4535" w:type="dxa"/>
            <w:tcBorders>
              <w:top w:val="nil"/>
              <w:left w:val="nil"/>
              <w:bottom w:val="nil"/>
              <w:right w:val="nil"/>
            </w:tcBorders>
          </w:tcPr>
          <w:p>
            <w:pPr>
              <w:pStyle w:val="0"/>
              <w:jc w:val="both"/>
            </w:pPr>
            <w:r>
              <w:rPr>
                <w:sz w:val="20"/>
              </w:rPr>
              <w:t xml:space="preserve">Исходящий N</w:t>
            </w:r>
          </w:p>
          <w:p>
            <w:pPr>
              <w:pStyle w:val="0"/>
              <w:jc w:val="both"/>
            </w:pPr>
            <w:r>
              <w:rPr>
                <w:sz w:val="20"/>
              </w:rPr>
              <w:t xml:space="preserve">Дата заполнения заявления</w:t>
            </w:r>
          </w:p>
        </w:tc>
        <w:tc>
          <w:tcPr>
            <w:tcW w:w="4535" w:type="dxa"/>
            <w:tcBorders>
              <w:top w:val="nil"/>
              <w:left w:val="nil"/>
              <w:bottom w:val="nil"/>
              <w:right w:val="nil"/>
            </w:tcBorders>
          </w:tcPr>
          <w:p>
            <w:pPr>
              <w:pStyle w:val="0"/>
            </w:pPr>
            <w:r>
              <w:rPr>
                <w:sz w:val="20"/>
              </w:rPr>
            </w:r>
          </w:p>
        </w:tc>
      </w:tr>
    </w:tbl>
    <w:p>
      <w:pPr>
        <w:pStyle w:val="0"/>
        <w:jc w:val="both"/>
      </w:pPr>
      <w:r>
        <w:rPr>
          <w:sz w:val="20"/>
        </w:rPr>
      </w:r>
    </w:p>
    <w:bookmarkStart w:id="588" w:name="P588"/>
    <w:bookmarkEnd w:id="588"/>
    <w:p>
      <w:pPr>
        <w:pStyle w:val="0"/>
        <w:jc w:val="center"/>
      </w:pPr>
      <w:r>
        <w:rPr>
          <w:sz w:val="20"/>
        </w:rPr>
        <w:t xml:space="preserve">Заявление</w:t>
      </w:r>
    </w:p>
    <w:p>
      <w:pPr>
        <w:pStyle w:val="0"/>
        <w:jc w:val="center"/>
      </w:pPr>
      <w:r>
        <w:rPr>
          <w:sz w:val="20"/>
        </w:rPr>
        <w:t xml:space="preserve">о выдаче разрешения на судовые радиостанции</w:t>
      </w:r>
    </w:p>
    <w:p>
      <w:pPr>
        <w:pStyle w:val="0"/>
        <w:jc w:val="center"/>
      </w:pPr>
      <w:r>
        <w:rPr>
          <w:sz w:val="20"/>
        </w:rPr>
        <w:t xml:space="preserve">(Для получения разрешения на судовые радиостанции,</w:t>
      </w:r>
    </w:p>
    <w:p>
      <w:pPr>
        <w:pStyle w:val="0"/>
        <w:jc w:val="center"/>
      </w:pPr>
      <w:r>
        <w:rPr>
          <w:sz w:val="20"/>
        </w:rPr>
        <w:t xml:space="preserve">продления срока действия разрешения на судовые</w:t>
      </w:r>
    </w:p>
    <w:p>
      <w:pPr>
        <w:pStyle w:val="0"/>
        <w:jc w:val="center"/>
      </w:pPr>
      <w:r>
        <w:rPr>
          <w:sz w:val="20"/>
        </w:rPr>
        <w:t xml:space="preserve">радиостанции, получения разрешения на судовые радиостанции</w:t>
      </w:r>
    </w:p>
    <w:p>
      <w:pPr>
        <w:pStyle w:val="0"/>
        <w:jc w:val="center"/>
      </w:pPr>
      <w:r>
        <w:rPr>
          <w:sz w:val="20"/>
        </w:rPr>
        <w:t xml:space="preserve">в случае прекращения использования отдельных</w:t>
      </w:r>
    </w:p>
    <w:p>
      <w:pPr>
        <w:pStyle w:val="0"/>
        <w:jc w:val="center"/>
      </w:pPr>
      <w:r>
        <w:rPr>
          <w:sz w:val="20"/>
        </w:rPr>
        <w:t xml:space="preserve">радиоэлектронных средств в составе судовой радиостанции,</w:t>
      </w:r>
    </w:p>
    <w:p>
      <w:pPr>
        <w:pStyle w:val="0"/>
        <w:jc w:val="center"/>
      </w:pPr>
      <w:r>
        <w:rPr>
          <w:sz w:val="20"/>
        </w:rPr>
        <w:t xml:space="preserve">утери разрешения на судовые радиостанции заявителем,</w:t>
      </w:r>
    </w:p>
    <w:p>
      <w:pPr>
        <w:pStyle w:val="0"/>
        <w:jc w:val="center"/>
      </w:pPr>
      <w:r>
        <w:rPr>
          <w:sz w:val="20"/>
        </w:rPr>
        <w:t xml:space="preserve">являющимся физическим лицом)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340"/>
        <w:gridCol w:w="340"/>
        <w:gridCol w:w="340"/>
        <w:gridCol w:w="340"/>
        <w:gridCol w:w="340"/>
        <w:gridCol w:w="340"/>
        <w:gridCol w:w="396"/>
        <w:gridCol w:w="396"/>
        <w:gridCol w:w="396"/>
        <w:gridCol w:w="396"/>
        <w:gridCol w:w="396"/>
        <w:gridCol w:w="396"/>
        <w:gridCol w:w="397"/>
      </w:tblGrid>
      <w:tr>
        <w:tc>
          <w:tcPr>
            <w:tcW w:w="567" w:type="dxa"/>
            <w:vAlign w:val="center"/>
          </w:tcPr>
          <w:p>
            <w:pPr>
              <w:pStyle w:val="0"/>
              <w:jc w:val="center"/>
            </w:pPr>
            <w:r>
              <w:rPr>
                <w:sz w:val="20"/>
              </w:rPr>
              <w:t xml:space="preserve">1</w:t>
            </w:r>
          </w:p>
        </w:tc>
        <w:tc>
          <w:tcPr>
            <w:tcW w:w="3685" w:type="dxa"/>
          </w:tcPr>
          <w:p>
            <w:pPr>
              <w:pStyle w:val="0"/>
            </w:pPr>
            <w:r>
              <w:rPr>
                <w:sz w:val="20"/>
              </w:rPr>
              <w:t xml:space="preserve">Фамилия, имя, отчество (при наличии)</w:t>
            </w:r>
          </w:p>
        </w:tc>
        <w:tc>
          <w:tcPr>
            <w:gridSpan w:val="13"/>
            <w:tcW w:w="4813" w:type="dxa"/>
          </w:tcPr>
          <w:p>
            <w:pPr>
              <w:pStyle w:val="0"/>
            </w:pPr>
            <w:r>
              <w:rPr>
                <w:sz w:val="20"/>
              </w:rPr>
            </w:r>
          </w:p>
        </w:tc>
      </w:tr>
      <w:tr>
        <w:tc>
          <w:tcPr>
            <w:tcW w:w="567" w:type="dxa"/>
            <w:vAlign w:val="center"/>
          </w:tcPr>
          <w:p>
            <w:pPr>
              <w:pStyle w:val="0"/>
              <w:jc w:val="center"/>
            </w:pPr>
            <w:r>
              <w:rPr>
                <w:sz w:val="20"/>
              </w:rPr>
              <w:t xml:space="preserve">2</w:t>
            </w:r>
          </w:p>
        </w:tc>
        <w:tc>
          <w:tcPr>
            <w:tcW w:w="3685" w:type="dxa"/>
          </w:tcPr>
          <w:p>
            <w:pPr>
              <w:pStyle w:val="0"/>
            </w:pPr>
            <w:r>
              <w:rPr>
                <w:sz w:val="20"/>
              </w:rPr>
              <w:t xml:space="preserve">Почтовый адрес заявителя</w:t>
            </w:r>
          </w:p>
        </w:tc>
        <w:tc>
          <w:tcPr>
            <w:gridSpan w:val="13"/>
            <w:tcW w:w="4813" w:type="dxa"/>
          </w:tcPr>
          <w:p>
            <w:pPr>
              <w:pStyle w:val="0"/>
            </w:pPr>
            <w:r>
              <w:rPr>
                <w:sz w:val="20"/>
              </w:rPr>
            </w:r>
          </w:p>
        </w:tc>
      </w:tr>
      <w:tr>
        <w:tc>
          <w:tcPr>
            <w:tcW w:w="567" w:type="dxa"/>
            <w:vAlign w:val="center"/>
          </w:tcPr>
          <w:p>
            <w:pPr>
              <w:pStyle w:val="0"/>
              <w:jc w:val="center"/>
            </w:pPr>
            <w:r>
              <w:rPr>
                <w:sz w:val="20"/>
              </w:rPr>
              <w:t xml:space="preserve">3</w:t>
            </w:r>
          </w:p>
        </w:tc>
        <w:tc>
          <w:tcPr>
            <w:tcW w:w="3685" w:type="dxa"/>
          </w:tcPr>
          <w:p>
            <w:pPr>
              <w:pStyle w:val="0"/>
            </w:pPr>
            <w:r>
              <w:rPr>
                <w:sz w:val="20"/>
              </w:rPr>
              <w:t xml:space="preserve">Адрес места жительства</w:t>
            </w:r>
          </w:p>
        </w:tc>
        <w:tc>
          <w:tcPr>
            <w:gridSpan w:val="13"/>
            <w:tcW w:w="4813" w:type="dxa"/>
          </w:tcPr>
          <w:p>
            <w:pPr>
              <w:pStyle w:val="0"/>
            </w:pPr>
            <w:r>
              <w:rPr>
                <w:sz w:val="20"/>
              </w:rPr>
            </w:r>
          </w:p>
        </w:tc>
      </w:tr>
      <w:tr>
        <w:tc>
          <w:tcPr>
            <w:tcW w:w="567" w:type="dxa"/>
            <w:vAlign w:val="center"/>
          </w:tcPr>
          <w:p>
            <w:pPr>
              <w:pStyle w:val="0"/>
              <w:jc w:val="center"/>
            </w:pPr>
            <w:r>
              <w:rPr>
                <w:sz w:val="20"/>
              </w:rPr>
              <w:t xml:space="preserve">4</w:t>
            </w:r>
          </w:p>
        </w:tc>
        <w:tc>
          <w:tcPr>
            <w:tcW w:w="3685" w:type="dxa"/>
          </w:tcPr>
          <w:p>
            <w:pPr>
              <w:pStyle w:val="0"/>
            </w:pPr>
            <w:r>
              <w:rPr>
                <w:sz w:val="20"/>
              </w:rPr>
              <w:t xml:space="preserve">Код города, номер контактного телефона и (или) факса</w:t>
            </w:r>
          </w:p>
        </w:tc>
        <w:tc>
          <w:tcPr>
            <w:gridSpan w:val="13"/>
            <w:tcW w:w="4813" w:type="dxa"/>
          </w:tcPr>
          <w:p>
            <w:pPr>
              <w:pStyle w:val="0"/>
            </w:pPr>
            <w:r>
              <w:rPr>
                <w:sz w:val="20"/>
              </w:rPr>
            </w:r>
          </w:p>
        </w:tc>
      </w:tr>
      <w:tr>
        <w:tc>
          <w:tcPr>
            <w:tcW w:w="567" w:type="dxa"/>
            <w:vAlign w:val="center"/>
          </w:tcPr>
          <w:p>
            <w:pPr>
              <w:pStyle w:val="0"/>
              <w:jc w:val="center"/>
            </w:pPr>
            <w:r>
              <w:rPr>
                <w:sz w:val="20"/>
              </w:rPr>
              <w:t xml:space="preserve">5</w:t>
            </w:r>
          </w:p>
        </w:tc>
        <w:tc>
          <w:tcPr>
            <w:tcW w:w="3685" w:type="dxa"/>
          </w:tcPr>
          <w:p>
            <w:pPr>
              <w:pStyle w:val="0"/>
            </w:pPr>
            <w:r>
              <w:rPr>
                <w:sz w:val="20"/>
              </w:rPr>
              <w:t xml:space="preserve">Идентификационный номер налогоплательщика (ИНН)</w:t>
            </w:r>
          </w:p>
        </w:tc>
        <w:tc>
          <w:tcPr>
            <w:gridSpan w:val="13"/>
            <w:tcW w:w="4813" w:type="dxa"/>
          </w:tcPr>
          <w:p>
            <w:pPr>
              <w:pStyle w:val="0"/>
            </w:pPr>
            <w:r>
              <w:rPr>
                <w:sz w:val="20"/>
              </w:rPr>
            </w:r>
          </w:p>
        </w:tc>
      </w:tr>
      <w:tr>
        <w:tc>
          <w:tcPr>
            <w:tcW w:w="567" w:type="dxa"/>
            <w:vAlign w:val="center"/>
          </w:tcPr>
          <w:p>
            <w:pPr>
              <w:pStyle w:val="0"/>
              <w:jc w:val="center"/>
            </w:pPr>
            <w:r>
              <w:rPr>
                <w:sz w:val="20"/>
              </w:rPr>
              <w:t xml:space="preserve">6</w:t>
            </w:r>
          </w:p>
        </w:tc>
        <w:tc>
          <w:tcPr>
            <w:tcW w:w="3685" w:type="dxa"/>
          </w:tcPr>
          <w:p>
            <w:pPr>
              <w:pStyle w:val="0"/>
            </w:pPr>
            <w:r>
              <w:rPr>
                <w:sz w:val="20"/>
              </w:rPr>
              <w:t xml:space="preserve">Страховой номер индивидуального лицевого счета (СНИЛС)</w:t>
            </w:r>
          </w:p>
        </w:tc>
        <w:tc>
          <w:tcPr>
            <w:gridSpan w:val="13"/>
            <w:tcW w:w="4813" w:type="dxa"/>
          </w:tcPr>
          <w:p>
            <w:pPr>
              <w:pStyle w:val="0"/>
            </w:pPr>
            <w:r>
              <w:rPr>
                <w:sz w:val="20"/>
              </w:rPr>
            </w:r>
          </w:p>
        </w:tc>
      </w:tr>
      <w:tr>
        <w:tc>
          <w:tcPr>
            <w:tcW w:w="567" w:type="dxa"/>
            <w:vAlign w:val="center"/>
          </w:tcPr>
          <w:p>
            <w:pPr>
              <w:pStyle w:val="0"/>
              <w:jc w:val="center"/>
            </w:pPr>
            <w:r>
              <w:rPr>
                <w:sz w:val="20"/>
              </w:rPr>
              <w:t xml:space="preserve">7</w:t>
            </w:r>
          </w:p>
        </w:tc>
        <w:tc>
          <w:tcPr>
            <w:tcW w:w="3685" w:type="dxa"/>
          </w:tcPr>
          <w:p>
            <w:pPr>
              <w:pStyle w:val="0"/>
            </w:pPr>
            <w:r>
              <w:rPr>
                <w:sz w:val="20"/>
              </w:rPr>
              <w:t xml:space="preserve">Название судна</w:t>
            </w:r>
          </w:p>
        </w:tc>
        <w:tc>
          <w:tcPr>
            <w:gridSpan w:val="13"/>
            <w:tcW w:w="4813" w:type="dxa"/>
          </w:tcPr>
          <w:p>
            <w:pPr>
              <w:pStyle w:val="0"/>
            </w:pPr>
            <w:r>
              <w:rPr>
                <w:sz w:val="20"/>
              </w:rPr>
            </w:r>
          </w:p>
        </w:tc>
      </w:tr>
      <w:tr>
        <w:tc>
          <w:tcPr>
            <w:tcW w:w="567" w:type="dxa"/>
            <w:vAlign w:val="center"/>
          </w:tcPr>
          <w:p>
            <w:pPr>
              <w:pStyle w:val="0"/>
              <w:jc w:val="center"/>
            </w:pPr>
            <w:r>
              <w:rPr>
                <w:sz w:val="20"/>
              </w:rPr>
              <w:t xml:space="preserve">8</w:t>
            </w:r>
          </w:p>
        </w:tc>
        <w:tc>
          <w:tcPr>
            <w:tcW w:w="3685" w:type="dxa"/>
          </w:tcPr>
          <w:p>
            <w:pPr>
              <w:pStyle w:val="0"/>
            </w:pPr>
            <w:r>
              <w:rPr>
                <w:sz w:val="20"/>
              </w:rPr>
              <w:t xml:space="preserve">Идентификационный номер судна, присвоенный международной морской организацией/регистрационный номер (для маломерного судна)</w:t>
            </w:r>
          </w:p>
        </w:tc>
        <w:tc>
          <w:tcPr>
            <w:gridSpan w:val="13"/>
            <w:tcW w:w="4813" w:type="dxa"/>
          </w:tcPr>
          <w:p>
            <w:pPr>
              <w:pStyle w:val="0"/>
            </w:pPr>
            <w:r>
              <w:rPr>
                <w:sz w:val="20"/>
              </w:rPr>
            </w:r>
          </w:p>
        </w:tc>
      </w:tr>
      <w:tr>
        <w:tc>
          <w:tcPr>
            <w:tcW w:w="567" w:type="dxa"/>
            <w:vAlign w:val="center"/>
          </w:tcPr>
          <w:p>
            <w:pPr>
              <w:pStyle w:val="0"/>
              <w:jc w:val="center"/>
            </w:pPr>
            <w:r>
              <w:rPr>
                <w:sz w:val="20"/>
              </w:rPr>
              <w:t xml:space="preserve">9</w:t>
            </w:r>
          </w:p>
        </w:tc>
        <w:tc>
          <w:tcPr>
            <w:tcW w:w="3685" w:type="dxa"/>
          </w:tcPr>
          <w:p>
            <w:pPr>
              <w:pStyle w:val="0"/>
            </w:pPr>
            <w:r>
              <w:rPr>
                <w:sz w:val="20"/>
              </w:rPr>
              <w:t xml:space="preserve">Серия и номер свидетельства о праве собственности на судно</w:t>
            </w:r>
          </w:p>
        </w:tc>
        <w:tc>
          <w:tcPr>
            <w:gridSpan w:val="13"/>
            <w:tcW w:w="4813" w:type="dxa"/>
          </w:tcPr>
          <w:p>
            <w:pPr>
              <w:pStyle w:val="0"/>
            </w:pPr>
            <w:r>
              <w:rPr>
                <w:sz w:val="20"/>
              </w:rPr>
            </w:r>
          </w:p>
        </w:tc>
      </w:tr>
      <w:tr>
        <w:tc>
          <w:tcPr>
            <w:tcW w:w="567" w:type="dxa"/>
            <w:vAlign w:val="center"/>
          </w:tcPr>
          <w:p>
            <w:pPr>
              <w:pStyle w:val="0"/>
              <w:jc w:val="center"/>
            </w:pPr>
            <w:r>
              <w:rPr>
                <w:sz w:val="20"/>
              </w:rPr>
              <w:t xml:space="preserve">10</w:t>
            </w:r>
          </w:p>
        </w:tc>
        <w:tc>
          <w:tcPr>
            <w:tcW w:w="3685" w:type="dxa"/>
          </w:tcPr>
          <w:p>
            <w:pPr>
              <w:pStyle w:val="0"/>
            </w:pPr>
            <w:r>
              <w:rPr>
                <w:sz w:val="20"/>
              </w:rPr>
              <w:t xml:space="preserve">Серия и номер свидетельства о праве плавания под Государственным флагом Российской Федерации</w:t>
            </w:r>
          </w:p>
        </w:tc>
        <w:tc>
          <w:tcPr>
            <w:gridSpan w:val="13"/>
            <w:tcW w:w="4813" w:type="dxa"/>
          </w:tcPr>
          <w:p>
            <w:pPr>
              <w:pStyle w:val="0"/>
            </w:pPr>
            <w:r>
              <w:rPr>
                <w:sz w:val="20"/>
              </w:rPr>
            </w:r>
          </w:p>
        </w:tc>
      </w:tr>
      <w:tr>
        <w:tc>
          <w:tcPr>
            <w:tcW w:w="567" w:type="dxa"/>
            <w:vAlign w:val="center"/>
          </w:tcPr>
          <w:p>
            <w:pPr>
              <w:pStyle w:val="0"/>
              <w:jc w:val="center"/>
            </w:pPr>
            <w:r>
              <w:rPr>
                <w:sz w:val="20"/>
              </w:rPr>
              <w:t xml:space="preserve">11</w:t>
            </w:r>
          </w:p>
        </w:tc>
        <w:tc>
          <w:tcPr>
            <w:tcW w:w="3685" w:type="dxa"/>
          </w:tcPr>
          <w:p>
            <w:pPr>
              <w:pStyle w:val="0"/>
            </w:pPr>
            <w:r>
              <w:rPr>
                <w:sz w:val="20"/>
              </w:rPr>
              <w:t xml:space="preserve">Порт регистрации судна (для получения разрешения на судовые радиостанции)</w:t>
            </w:r>
          </w:p>
        </w:tc>
        <w:tc>
          <w:tcPr>
            <w:gridSpan w:val="13"/>
            <w:tcW w:w="4813" w:type="dxa"/>
          </w:tcPr>
          <w:p>
            <w:pPr>
              <w:pStyle w:val="0"/>
            </w:pPr>
            <w:r>
              <w:rPr>
                <w:sz w:val="20"/>
              </w:rPr>
            </w:r>
          </w:p>
        </w:tc>
      </w:tr>
      <w:tr>
        <w:tc>
          <w:tcPr>
            <w:tcW w:w="567" w:type="dxa"/>
            <w:vAlign w:val="center"/>
          </w:tcPr>
          <w:p>
            <w:pPr>
              <w:pStyle w:val="0"/>
              <w:jc w:val="center"/>
            </w:pPr>
            <w:r>
              <w:rPr>
                <w:sz w:val="20"/>
              </w:rPr>
              <w:t xml:space="preserve">12</w:t>
            </w:r>
          </w:p>
        </w:tc>
        <w:tc>
          <w:tcPr>
            <w:tcW w:w="3685" w:type="dxa"/>
          </w:tcPr>
          <w:p>
            <w:pPr>
              <w:pStyle w:val="0"/>
            </w:pPr>
            <w:r>
              <w:rPr>
                <w:sz w:val="20"/>
              </w:rPr>
              <w:t xml:space="preserve">Номер и дата заключения радиочастотной службы (не заполняется в случаях, предусмотренных </w:t>
            </w:r>
            <w:hyperlink w:history="0" w:anchor="P398" w:tooltip="71. Выдача разрешений на судовые радиостанции осуществляется без Заключения радиочастотной службы в следующих случаях:">
              <w:r>
                <w:rPr>
                  <w:sz w:val="20"/>
                  <w:color w:val="0000ff"/>
                </w:rPr>
                <w:t xml:space="preserve">пунктом 71</w:t>
              </w:r>
            </w:hyperlink>
            <w:r>
              <w:rPr>
                <w:sz w:val="20"/>
              </w:rPr>
              <w:t xml:space="preserve"> настоящего Регламента)</w:t>
            </w:r>
          </w:p>
        </w:tc>
        <w:tc>
          <w:tcPr>
            <w:gridSpan w:val="13"/>
            <w:tcW w:w="4813" w:type="dxa"/>
          </w:tcPr>
          <w:p>
            <w:pPr>
              <w:pStyle w:val="0"/>
            </w:pPr>
            <w:r>
              <w:rPr>
                <w:sz w:val="20"/>
              </w:rPr>
            </w:r>
          </w:p>
        </w:tc>
      </w:tr>
      <w:tr>
        <w:tc>
          <w:tcPr>
            <w:tcW w:w="567" w:type="dxa"/>
            <w:vAlign w:val="center"/>
          </w:tcPr>
          <w:p>
            <w:pPr>
              <w:pStyle w:val="0"/>
              <w:jc w:val="center"/>
            </w:pPr>
            <w:r>
              <w:rPr>
                <w:sz w:val="20"/>
              </w:rPr>
              <w:t xml:space="preserve">13</w:t>
            </w:r>
          </w:p>
        </w:tc>
        <w:tc>
          <w:tcPr>
            <w:tcW w:w="3685" w:type="dxa"/>
          </w:tcPr>
          <w:p>
            <w:pPr>
              <w:pStyle w:val="0"/>
            </w:pPr>
            <w:r>
              <w:rPr>
                <w:sz w:val="20"/>
              </w:rPr>
              <w:t xml:space="preserve">Номер и дата действующего разрешения на судовые радиостанции (при наличии)</w:t>
            </w:r>
          </w:p>
        </w:tc>
        <w:tc>
          <w:tcPr>
            <w:gridSpan w:val="13"/>
            <w:tcW w:w="4813" w:type="dxa"/>
          </w:tcPr>
          <w:p>
            <w:pPr>
              <w:pStyle w:val="0"/>
            </w:pPr>
            <w:r>
              <w:rPr>
                <w:sz w:val="20"/>
              </w:rPr>
            </w:r>
          </w:p>
        </w:tc>
      </w:tr>
      <w:tr>
        <w:tc>
          <w:tcPr>
            <w:tcW w:w="567" w:type="dxa"/>
            <w:vAlign w:val="center"/>
          </w:tcPr>
          <w:p>
            <w:pPr>
              <w:pStyle w:val="0"/>
              <w:jc w:val="center"/>
            </w:pPr>
            <w:r>
              <w:rPr>
                <w:sz w:val="20"/>
              </w:rPr>
              <w:t xml:space="preserve">14</w:t>
            </w:r>
          </w:p>
        </w:tc>
        <w:tc>
          <w:tcPr>
            <w:tcW w:w="3685" w:type="dxa"/>
          </w:tcPr>
          <w:p>
            <w:pPr>
              <w:pStyle w:val="0"/>
            </w:pPr>
            <w:r>
              <w:rPr>
                <w:sz w:val="20"/>
              </w:rPr>
              <w:t xml:space="preserve">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gridSpan w:val="13"/>
            <w:tcW w:w="4813" w:type="dxa"/>
          </w:tcPr>
          <w:p>
            <w:pPr>
              <w:pStyle w:val="0"/>
            </w:pPr>
            <w:r>
              <w:rPr>
                <w:sz w:val="20"/>
              </w:rPr>
            </w:r>
          </w:p>
        </w:tc>
      </w:tr>
      <w:tr>
        <w:tc>
          <w:tcPr>
            <w:tcW w:w="567" w:type="dxa"/>
            <w:vAlign w:val="center"/>
            <w:vMerge w:val="restart"/>
          </w:tcPr>
          <w:p>
            <w:pPr>
              <w:pStyle w:val="0"/>
              <w:jc w:val="center"/>
            </w:pPr>
            <w:r>
              <w:rPr>
                <w:sz w:val="20"/>
              </w:rPr>
              <w:t xml:space="preserve">15 &lt;1&gt;</w:t>
            </w:r>
          </w:p>
        </w:tc>
        <w:tc>
          <w:tcPr>
            <w:tcW w:w="3685" w:type="dxa"/>
            <w:vMerge w:val="restart"/>
          </w:tcPr>
          <w:p>
            <w:pPr>
              <w:pStyle w:val="0"/>
              <w:jc w:val="both"/>
            </w:pPr>
            <w:r>
              <w:rPr>
                <w:sz w:val="20"/>
              </w:rPr>
              <w:t xml:space="preserve">Категория корреспонденции &lt;2&gt;</w:t>
            </w:r>
          </w:p>
        </w:tc>
        <w:tc>
          <w:tcPr>
            <w:tcW w:w="340" w:type="dxa"/>
            <w:tcBorders>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6" w:type="dxa"/>
            <w:tcBorders>
              <w:bottom w:val="nil"/>
            </w:tcBorders>
          </w:tcPr>
          <w:p>
            <w:pPr>
              <w:pStyle w:val="0"/>
            </w:pPr>
            <w:r>
              <w:rPr>
                <w:sz w:val="20"/>
              </w:rPr>
            </w:r>
          </w:p>
        </w:tc>
        <w:tc>
          <w:tcPr>
            <w:tcW w:w="396" w:type="dxa"/>
          </w:tcPr>
          <w:p>
            <w:pPr>
              <w:pStyle w:val="0"/>
            </w:pPr>
            <w:r>
              <w:rPr>
                <w:sz w:val="20"/>
              </w:rPr>
            </w:r>
          </w:p>
        </w:tc>
        <w:tc>
          <w:tcPr>
            <w:tcW w:w="396" w:type="dxa"/>
          </w:tcPr>
          <w:p>
            <w:pPr>
              <w:pStyle w:val="0"/>
            </w:pPr>
            <w:r>
              <w:rPr>
                <w:sz w:val="20"/>
              </w:rPr>
            </w:r>
          </w:p>
        </w:tc>
        <w:tc>
          <w:tcPr>
            <w:tcW w:w="396" w:type="dxa"/>
            <w:tcBorders>
              <w:bottom w:val="nil"/>
            </w:tcBorders>
          </w:tcPr>
          <w:p>
            <w:pPr>
              <w:pStyle w:val="0"/>
            </w:pPr>
            <w:r>
              <w:rPr>
                <w:sz w:val="20"/>
              </w:rPr>
            </w:r>
          </w:p>
        </w:tc>
        <w:tc>
          <w:tcPr>
            <w:tcW w:w="396" w:type="dxa"/>
          </w:tcPr>
          <w:p>
            <w:pPr>
              <w:pStyle w:val="0"/>
            </w:pPr>
            <w:r>
              <w:rPr>
                <w:sz w:val="20"/>
              </w:rPr>
            </w:r>
          </w:p>
        </w:tc>
        <w:tc>
          <w:tcPr>
            <w:tcW w:w="396" w:type="dxa"/>
          </w:tcPr>
          <w:p>
            <w:pPr>
              <w:pStyle w:val="0"/>
            </w:pPr>
            <w:r>
              <w:rPr>
                <w:sz w:val="20"/>
              </w:rPr>
            </w:r>
          </w:p>
        </w:tc>
        <w:tc>
          <w:tcPr>
            <w:tcW w:w="397" w:type="dxa"/>
            <w:tcBorders>
              <w:bottom w:val="nil"/>
            </w:tcBorders>
          </w:tcPr>
          <w:p>
            <w:pPr>
              <w:pStyle w:val="0"/>
            </w:pPr>
            <w:r>
              <w:rPr>
                <w:sz w:val="20"/>
              </w:rPr>
            </w:r>
          </w:p>
        </w:tc>
      </w:tr>
      <w:tr>
        <w:tc>
          <w:tcPr>
            <w:vMerge w:val="continue"/>
          </w:tcPr>
          <w:p/>
        </w:tc>
        <w:tc>
          <w:tcPr>
            <w:vMerge w:val="continue"/>
          </w:tcPr>
          <w:p/>
        </w:tc>
        <w:tc>
          <w:tcPr>
            <w:gridSpan w:val="13"/>
            <w:tcW w:w="4813" w:type="dxa"/>
            <w:tcBorders>
              <w:top w:val="nil"/>
            </w:tcBorders>
          </w:tcPr>
          <w:p>
            <w:pPr>
              <w:pStyle w:val="0"/>
            </w:pPr>
            <w:r>
              <w:rPr>
                <w:sz w:val="20"/>
              </w:rPr>
            </w:r>
          </w:p>
        </w:tc>
      </w:tr>
      <w:tr>
        <w:tc>
          <w:tcPr>
            <w:tcW w:w="567" w:type="dxa"/>
            <w:vAlign w:val="center"/>
            <w:vMerge w:val="restart"/>
          </w:tcPr>
          <w:p>
            <w:pPr>
              <w:pStyle w:val="0"/>
              <w:jc w:val="center"/>
            </w:pPr>
            <w:r>
              <w:rPr>
                <w:sz w:val="20"/>
              </w:rPr>
              <w:t xml:space="preserve">16 &lt;3&gt;</w:t>
            </w:r>
          </w:p>
        </w:tc>
        <w:tc>
          <w:tcPr>
            <w:tcW w:w="3685" w:type="dxa"/>
            <w:vAlign w:val="center"/>
            <w:vMerge w:val="restart"/>
          </w:tcPr>
          <w:p>
            <w:pPr>
              <w:pStyle w:val="0"/>
              <w:jc w:val="both"/>
            </w:pPr>
            <w:r>
              <w:rPr>
                <w:sz w:val="20"/>
              </w:rPr>
              <w:t xml:space="preserve">Состав оборудования</w:t>
            </w:r>
          </w:p>
        </w:tc>
        <w:tc>
          <w:tcPr>
            <w:gridSpan w:val="6"/>
            <w:tcW w:w="2040" w:type="dxa"/>
            <w:vAlign w:val="bottom"/>
          </w:tcPr>
          <w:p>
            <w:pPr>
              <w:pStyle w:val="0"/>
              <w:jc w:val="center"/>
            </w:pPr>
            <w:r>
              <w:rPr>
                <w:sz w:val="20"/>
              </w:rPr>
              <w:t xml:space="preserve">Тип радиоэлектронных средств</w:t>
            </w:r>
          </w:p>
        </w:tc>
        <w:tc>
          <w:tcPr>
            <w:gridSpan w:val="7"/>
            <w:tcW w:w="2773" w:type="dxa"/>
            <w:vAlign w:val="bottom"/>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tcW w:w="567" w:type="dxa"/>
            <w:vAlign w:val="center"/>
            <w:vMerge w:val="restart"/>
          </w:tcPr>
          <w:p>
            <w:pPr>
              <w:pStyle w:val="0"/>
              <w:jc w:val="center"/>
            </w:pPr>
            <w:r>
              <w:rPr>
                <w:sz w:val="20"/>
              </w:rPr>
              <w:t xml:space="preserve">17 &lt;4&gt;</w:t>
            </w:r>
          </w:p>
        </w:tc>
        <w:tc>
          <w:tcPr>
            <w:tcW w:w="3685" w:type="dxa"/>
            <w:vMerge w:val="restart"/>
          </w:tcPr>
          <w:p>
            <w:pPr>
              <w:pStyle w:val="0"/>
            </w:pPr>
            <w:r>
              <w:rPr>
                <w:sz w:val="20"/>
              </w:rPr>
              <w:t xml:space="preserve">Радиоэлектронные средства, исключаемые из состава судовой радиостанции</w:t>
            </w:r>
          </w:p>
        </w:tc>
        <w:tc>
          <w:tcPr>
            <w:gridSpan w:val="6"/>
            <w:tcW w:w="2040" w:type="dxa"/>
          </w:tcPr>
          <w:p>
            <w:pPr>
              <w:pStyle w:val="0"/>
              <w:jc w:val="center"/>
            </w:pPr>
            <w:r>
              <w:rPr>
                <w:sz w:val="20"/>
              </w:rPr>
              <w:t xml:space="preserve">Тип радиоэлектронных средств</w:t>
            </w:r>
          </w:p>
        </w:tc>
        <w:tc>
          <w:tcPr>
            <w:gridSpan w:val="7"/>
            <w:tcW w:w="2773" w:type="dxa"/>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773" w:type="dxa"/>
          </w:tcPr>
          <w:p>
            <w:pPr>
              <w:pStyle w:val="0"/>
            </w:pPr>
            <w:r>
              <w:rPr>
                <w:sz w:val="20"/>
              </w:rPr>
            </w:r>
          </w:p>
        </w:tc>
      </w:tr>
    </w:tbl>
    <w:p>
      <w:pPr>
        <w:pStyle w:val="0"/>
        <w:jc w:val="both"/>
      </w:pPr>
      <w:r>
        <w:rPr>
          <w:sz w:val="20"/>
        </w:rPr>
      </w:r>
    </w:p>
    <w:p>
      <w:pPr>
        <w:pStyle w:val="1"/>
        <w:jc w:val="both"/>
      </w:pPr>
      <w:r>
        <w:rPr>
          <w:sz w:val="20"/>
        </w:rPr>
        <w:t xml:space="preserve">    Прошу  выдать  разрешение  на  судовые  радиостанции,  используемые  на</w:t>
      </w:r>
    </w:p>
    <w:p>
      <w:pPr>
        <w:pStyle w:val="1"/>
        <w:jc w:val="both"/>
      </w:pPr>
      <w:r>
        <w:rPr>
          <w:sz w:val="20"/>
        </w:rPr>
        <w:t xml:space="preserve">___________________________________________________________________________</w:t>
      </w:r>
    </w:p>
    <w:p>
      <w:pPr>
        <w:pStyle w:val="1"/>
        <w:jc w:val="both"/>
      </w:pPr>
      <w:r>
        <w:rPr>
          <w:sz w:val="20"/>
        </w:rPr>
        <w:t xml:space="preserve">       (морском судне, судне внутреннего плавания, судне смешанного</w:t>
      </w:r>
    </w:p>
    <w:p>
      <w:pPr>
        <w:pStyle w:val="1"/>
        <w:jc w:val="both"/>
      </w:pPr>
      <w:r>
        <w:rPr>
          <w:sz w:val="20"/>
        </w:rPr>
        <w:t xml:space="preserve">                           (река-море) плавания)</w:t>
      </w:r>
    </w:p>
    <w:p>
      <w:pPr>
        <w:pStyle w:val="1"/>
        <w:jc w:val="both"/>
      </w:pPr>
      <w:r>
        <w:rPr>
          <w:sz w:val="20"/>
        </w:rPr>
      </w:r>
    </w:p>
    <w:p>
      <w:pPr>
        <w:pStyle w:val="1"/>
        <w:jc w:val="both"/>
      </w:pPr>
      <w:r>
        <w:rPr>
          <w:sz w:val="20"/>
        </w:rPr>
        <w:t xml:space="preserve">в связи с _________________________________________________________________</w:t>
      </w:r>
    </w:p>
    <w:p>
      <w:pPr>
        <w:pStyle w:val="1"/>
        <w:jc w:val="both"/>
      </w:pPr>
      <w:r>
        <w:rPr>
          <w:sz w:val="20"/>
        </w:rPr>
        <w:t xml:space="preserve">(указать причину:  получение разрешения на судовые  радиостанции, продление</w:t>
      </w:r>
    </w:p>
    <w:p>
      <w:pPr>
        <w:pStyle w:val="1"/>
        <w:jc w:val="both"/>
      </w:pPr>
      <w:r>
        <w:rPr>
          <w:sz w:val="20"/>
        </w:rPr>
        <w:t xml:space="preserve">срока  действия  разрешения  на  судовые радиостанции, получение разрешения</w:t>
      </w:r>
    </w:p>
    <w:p>
      <w:pPr>
        <w:pStyle w:val="1"/>
        <w:jc w:val="both"/>
      </w:pPr>
      <w:r>
        <w:rPr>
          <w:sz w:val="20"/>
        </w:rPr>
        <w:t xml:space="preserve">на  судовые  радиостанции  в  случае  прекращения  использования  отдельных</w:t>
      </w:r>
    </w:p>
    <w:p>
      <w:pPr>
        <w:pStyle w:val="1"/>
        <w:jc w:val="both"/>
      </w:pPr>
      <w:r>
        <w:rPr>
          <w:sz w:val="20"/>
        </w:rPr>
        <w:t xml:space="preserve">радиоэлектронных  средств  в составе судовой радиостанции, утери разрешения</w:t>
      </w:r>
    </w:p>
    <w:p>
      <w:pPr>
        <w:pStyle w:val="1"/>
        <w:jc w:val="both"/>
      </w:pPr>
      <w:r>
        <w:rPr>
          <w:sz w:val="20"/>
        </w:rPr>
        <w:t xml:space="preserve">на судовые радиостанции)</w:t>
      </w:r>
    </w:p>
    <w:p>
      <w:pPr>
        <w:pStyle w:val="1"/>
        <w:jc w:val="both"/>
      </w:pPr>
      <w:r>
        <w:rPr>
          <w:sz w:val="20"/>
        </w:rPr>
      </w:r>
    </w:p>
    <w:p>
      <w:pPr>
        <w:pStyle w:val="1"/>
        <w:jc w:val="both"/>
      </w:pPr>
      <w:r>
        <w:rPr>
          <w:sz w:val="20"/>
        </w:rPr>
        <w:t xml:space="preserve">Приложение:    1. заявление пользователя судовой радиостанции о прекращении</w:t>
      </w:r>
    </w:p>
    <w:p>
      <w:pPr>
        <w:pStyle w:val="1"/>
        <w:jc w:val="both"/>
      </w:pPr>
      <w:r>
        <w:rPr>
          <w:sz w:val="20"/>
        </w:rPr>
        <w:t xml:space="preserve">               действия   разрешения  на  судовые  радиостанции  (в  случае</w:t>
      </w:r>
    </w:p>
    <w:p>
      <w:pPr>
        <w:pStyle w:val="1"/>
        <w:jc w:val="both"/>
      </w:pPr>
      <w:r>
        <w:rPr>
          <w:sz w:val="20"/>
        </w:rPr>
        <w:t xml:space="preserve">               прекращения использования отдельных радиоэлектронных средств</w:t>
      </w:r>
    </w:p>
    <w:p>
      <w:pPr>
        <w:pStyle w:val="1"/>
        <w:jc w:val="both"/>
      </w:pPr>
      <w:r>
        <w:rPr>
          <w:sz w:val="20"/>
        </w:rPr>
        <w:t xml:space="preserve">               в составе судовой радиостанции).</w:t>
      </w:r>
    </w:p>
    <w:p>
      <w:pPr>
        <w:pStyle w:val="1"/>
        <w:jc w:val="both"/>
      </w:pPr>
      <w:r>
        <w:rPr>
          <w:sz w:val="20"/>
        </w:rPr>
        <w:t xml:space="preserve">               2. копия доверенности на представление интересов заявителя.</w:t>
      </w:r>
    </w:p>
    <w:p>
      <w:pPr>
        <w:pStyle w:val="1"/>
        <w:jc w:val="both"/>
      </w:pPr>
      <w:r>
        <w:rPr>
          <w:sz w:val="20"/>
        </w:rPr>
        <w:t xml:space="preserve">               3. копия  документа,  подтверждающего  право на эксплуатацию</w:t>
      </w:r>
    </w:p>
    <w:p>
      <w:pPr>
        <w:pStyle w:val="1"/>
        <w:jc w:val="both"/>
      </w:pPr>
      <w:r>
        <w:rPr>
          <w:sz w:val="20"/>
        </w:rPr>
        <w:t xml:space="preserve">               судна.</w:t>
      </w:r>
    </w:p>
    <w:p>
      <w:pPr>
        <w:pStyle w:val="1"/>
        <w:jc w:val="both"/>
      </w:pPr>
      <w:r>
        <w:rPr>
          <w:sz w:val="20"/>
        </w:rPr>
        <w:t xml:space="preserve">               4. копия  временного  свидетельства  о  праве  плавания  под</w:t>
      </w:r>
    </w:p>
    <w:p>
      <w:pPr>
        <w:pStyle w:val="1"/>
        <w:jc w:val="both"/>
      </w:pPr>
      <w:r>
        <w:rPr>
          <w:sz w:val="20"/>
        </w:rPr>
        <w:t xml:space="preserve">               Государственным флагом Российской Федерации.</w:t>
      </w:r>
    </w:p>
    <w:p>
      <w:pPr>
        <w:pStyle w:val="1"/>
        <w:jc w:val="both"/>
      </w:pPr>
      <w:r>
        <w:rPr>
          <w:sz w:val="20"/>
        </w:rPr>
      </w:r>
    </w:p>
    <w:p>
      <w:pPr>
        <w:pStyle w:val="1"/>
        <w:jc w:val="both"/>
      </w:pPr>
      <w:r>
        <w:rPr>
          <w:sz w:val="20"/>
        </w:rPr>
        <w:t xml:space="preserve">                            _______________________   _____________________</w:t>
      </w:r>
    </w:p>
    <w:p>
      <w:pPr>
        <w:pStyle w:val="1"/>
        <w:jc w:val="both"/>
      </w:pPr>
      <w:r>
        <w:rPr>
          <w:sz w:val="20"/>
        </w:rPr>
        <w:t xml:space="preserve">                                    (подпись)         (инициалы, фамилия)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pPr>
        <w:pStyle w:val="0"/>
        <w:spacing w:before="200" w:line-rule="auto"/>
        <w:ind w:firstLine="540"/>
        <w:jc w:val="both"/>
      </w:pPr>
      <w:r>
        <w:rPr>
          <w:sz w:val="20"/>
        </w:rPr>
        <w:t xml:space="preserve">&lt;2&gt; Категории корреспонденции в соответствии с Регламентом радиосвязи Международного союза электросвязи, утвержденным </w:t>
      </w:r>
      <w:hyperlink w:history="0" r:id="rId55" w:tooltip="Распоряжение Правительства РФ от 17.04.2018 N 685-р &lt;Об утверждении Регламента радиосвязи, принятого по итогам всемирных конференций радиосвязи Международного союза электросвязи в г. Женеве&gt; {КонсультантПлюс}">
        <w:r>
          <w:rPr>
            <w:sz w:val="20"/>
            <w:color w:val="0000ff"/>
          </w:rPr>
          <w:t xml:space="preserve">распоряжением</w:t>
        </w:r>
      </w:hyperlink>
      <w:r>
        <w:rPr>
          <w:sz w:val="20"/>
        </w:rPr>
        <w:t xml:space="preserve"> Правительства Российской Федерации от 17 апреля 2018 г. N 685-р (Собрание законодательства Российской Федерации, 2018, N 17, ст. 2551):</w:t>
      </w:r>
    </w:p>
    <w:p>
      <w:pPr>
        <w:pStyle w:val="0"/>
        <w:spacing w:before="200" w:line-rule="auto"/>
        <w:ind w:firstLine="540"/>
        <w:jc w:val="both"/>
      </w:pPr>
      <w:r>
        <w:rPr>
          <w:sz w:val="20"/>
        </w:rPr>
        <w:t xml:space="preserve">- для официальной корреспонденции (CO),</w:t>
      </w:r>
    </w:p>
    <w:p>
      <w:pPr>
        <w:pStyle w:val="0"/>
        <w:spacing w:before="200" w:line-rule="auto"/>
        <w:ind w:firstLine="540"/>
        <w:jc w:val="both"/>
      </w:pPr>
      <w:r>
        <w:rPr>
          <w:sz w:val="20"/>
        </w:rPr>
        <w:t xml:space="preserve">- для общественной корреспонденции (CP),</w:t>
      </w:r>
    </w:p>
    <w:p>
      <w:pPr>
        <w:pStyle w:val="0"/>
        <w:spacing w:before="200" w:line-rule="auto"/>
        <w:ind w:firstLine="540"/>
        <w:jc w:val="both"/>
      </w:pPr>
      <w:r>
        <w:rPr>
          <w:sz w:val="20"/>
        </w:rPr>
        <w:t xml:space="preserve">- для ограниченной публичной корреспонденции (CR),</w:t>
      </w:r>
    </w:p>
    <w:p>
      <w:pPr>
        <w:pStyle w:val="0"/>
        <w:spacing w:before="200" w:line-rule="auto"/>
        <w:ind w:firstLine="540"/>
        <w:jc w:val="both"/>
      </w:pPr>
      <w:r>
        <w:rPr>
          <w:sz w:val="20"/>
        </w:rPr>
        <w:t xml:space="preserve">- для корреспонденции частного предприятия (CV),</w:t>
      </w:r>
    </w:p>
    <w:p>
      <w:pPr>
        <w:pStyle w:val="0"/>
        <w:spacing w:before="200" w:line-rule="auto"/>
        <w:ind w:firstLine="540"/>
        <w:jc w:val="both"/>
      </w:pPr>
      <w:r>
        <w:rPr>
          <w:sz w:val="20"/>
        </w:rPr>
        <w:t xml:space="preserve">- только служебный обмен той службы, к которой она относится (OT).</w:t>
      </w:r>
    </w:p>
    <w:p>
      <w:pPr>
        <w:pStyle w:val="0"/>
        <w:spacing w:before="200" w:line-rule="auto"/>
        <w:ind w:firstLine="540"/>
        <w:jc w:val="both"/>
      </w:pPr>
      <w:r>
        <w:rPr>
          <w:sz w:val="20"/>
        </w:rPr>
        <w:t xml:space="preserve">&lt;3&gt;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pPr>
        <w:pStyle w:val="0"/>
        <w:spacing w:before="200" w:line-rule="auto"/>
        <w:ind w:firstLine="540"/>
        <w:jc w:val="both"/>
      </w:pPr>
      <w:r>
        <w:rPr>
          <w:sz w:val="20"/>
        </w:rPr>
        <w:t xml:space="preserve">&lt;4&gt; Заполняется в случае прекращения использования отдельных радиоэлектронных средств в составе судовой радиостанции.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Федеральной</w:t>
      </w:r>
    </w:p>
    <w:p>
      <w:pPr>
        <w:pStyle w:val="0"/>
        <w:jc w:val="right"/>
      </w:pPr>
      <w:r>
        <w:rPr>
          <w:sz w:val="20"/>
        </w:rPr>
        <w:t xml:space="preserve">службой 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государственной услуги</w:t>
      </w:r>
    </w:p>
    <w:p>
      <w:pPr>
        <w:pStyle w:val="0"/>
        <w:jc w:val="right"/>
      </w:pPr>
      <w:r>
        <w:rPr>
          <w:sz w:val="20"/>
        </w:rPr>
        <w:t xml:space="preserve">по выдаче разрешений</w:t>
      </w:r>
    </w:p>
    <w:p>
      <w:pPr>
        <w:pStyle w:val="0"/>
        <w:jc w:val="right"/>
      </w:pPr>
      <w:r>
        <w:rPr>
          <w:sz w:val="20"/>
        </w:rPr>
        <w:t xml:space="preserve">на судовые радиостанции,</w:t>
      </w:r>
    </w:p>
    <w:p>
      <w:pPr>
        <w:pStyle w:val="0"/>
        <w:jc w:val="right"/>
      </w:pPr>
      <w:r>
        <w:rPr>
          <w:sz w:val="20"/>
        </w:rPr>
        <w:t xml:space="preserve">используемые на морских</w:t>
      </w:r>
    </w:p>
    <w:p>
      <w:pPr>
        <w:pStyle w:val="0"/>
        <w:jc w:val="right"/>
      </w:pPr>
      <w:r>
        <w:rPr>
          <w:sz w:val="20"/>
        </w:rPr>
        <w:t xml:space="preserve">судах, судах внутреннего</w:t>
      </w:r>
    </w:p>
    <w:p>
      <w:pPr>
        <w:pStyle w:val="0"/>
        <w:jc w:val="right"/>
      </w:pPr>
      <w:r>
        <w:rPr>
          <w:sz w:val="20"/>
        </w:rPr>
        <w:t xml:space="preserve">плавания и судах смешанного</w:t>
      </w:r>
    </w:p>
    <w:p>
      <w:pPr>
        <w:pStyle w:val="0"/>
        <w:jc w:val="right"/>
      </w:pPr>
      <w:r>
        <w:rPr>
          <w:sz w:val="20"/>
        </w:rPr>
        <w:t xml:space="preserve">(река-море) плавания,</w:t>
      </w:r>
    </w:p>
    <w:p>
      <w:pPr>
        <w:pStyle w:val="0"/>
        <w:jc w:val="right"/>
      </w:pPr>
      <w:r>
        <w:rPr>
          <w:sz w:val="20"/>
        </w:rPr>
        <w:t xml:space="preserve">утвержденному приказом Роскомнадзора</w:t>
      </w:r>
    </w:p>
    <w:p>
      <w:pPr>
        <w:pStyle w:val="0"/>
        <w:jc w:val="right"/>
      </w:pPr>
      <w:r>
        <w:rPr>
          <w:sz w:val="20"/>
        </w:rPr>
        <w:t xml:space="preserve">от 18.12.2018 N 201</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В Управление Федеральной службы по надзору в сфере связи, информационных технологий и массовых коммуникаций по</w:t>
            </w:r>
          </w:p>
          <w:p>
            <w:pPr>
              <w:pStyle w:val="0"/>
            </w:pPr>
            <w:r>
              <w:rPr>
                <w:sz w:val="20"/>
              </w:rPr>
              <w:t xml:space="preserve">________________________________</w:t>
            </w:r>
          </w:p>
          <w:p>
            <w:pPr>
              <w:pStyle w:val="0"/>
            </w:pPr>
            <w:r>
              <w:rPr>
                <w:sz w:val="20"/>
              </w:rPr>
              <w:t xml:space="preserve">(наименование территориального управления Роскомнадзора)</w:t>
            </w:r>
          </w:p>
        </w:tc>
      </w:tr>
      <w:tr>
        <w:tc>
          <w:tcPr>
            <w:tcW w:w="4535" w:type="dxa"/>
            <w:tcBorders>
              <w:top w:val="nil"/>
              <w:left w:val="nil"/>
              <w:bottom w:val="nil"/>
              <w:right w:val="nil"/>
            </w:tcBorders>
          </w:tcPr>
          <w:p>
            <w:pPr>
              <w:pStyle w:val="0"/>
              <w:jc w:val="both"/>
            </w:pPr>
            <w:r>
              <w:rPr>
                <w:sz w:val="20"/>
              </w:rPr>
              <w:t xml:space="preserve">Исходящий N</w:t>
            </w:r>
          </w:p>
          <w:p>
            <w:pPr>
              <w:pStyle w:val="0"/>
              <w:jc w:val="both"/>
            </w:pPr>
            <w:r>
              <w:rPr>
                <w:sz w:val="20"/>
              </w:rPr>
              <w:t xml:space="preserve">Дата заполнения заявления</w:t>
            </w:r>
          </w:p>
        </w:tc>
        <w:tc>
          <w:tcPr>
            <w:tcW w:w="4535" w:type="dxa"/>
            <w:tcBorders>
              <w:top w:val="nil"/>
              <w:left w:val="nil"/>
              <w:bottom w:val="nil"/>
              <w:right w:val="nil"/>
            </w:tcBorders>
          </w:tcPr>
          <w:p>
            <w:pPr>
              <w:pStyle w:val="0"/>
            </w:pPr>
            <w:r>
              <w:rPr>
                <w:sz w:val="20"/>
              </w:rPr>
            </w:r>
          </w:p>
        </w:tc>
      </w:tr>
    </w:tbl>
    <w:p>
      <w:pPr>
        <w:pStyle w:val="0"/>
        <w:jc w:val="both"/>
      </w:pPr>
      <w:r>
        <w:rPr>
          <w:sz w:val="20"/>
        </w:rPr>
      </w:r>
    </w:p>
    <w:bookmarkStart w:id="751" w:name="P751"/>
    <w:bookmarkEnd w:id="751"/>
    <w:p>
      <w:pPr>
        <w:pStyle w:val="0"/>
        <w:jc w:val="center"/>
      </w:pPr>
      <w:r>
        <w:rPr>
          <w:sz w:val="20"/>
        </w:rPr>
        <w:t xml:space="preserve">Заявление</w:t>
      </w:r>
    </w:p>
    <w:p>
      <w:pPr>
        <w:pStyle w:val="0"/>
        <w:jc w:val="center"/>
      </w:pPr>
      <w:r>
        <w:rPr>
          <w:sz w:val="20"/>
        </w:rPr>
        <w:t xml:space="preserve">о выдаче разрешения на судовые радиостанции</w:t>
      </w:r>
    </w:p>
    <w:p>
      <w:pPr>
        <w:pStyle w:val="0"/>
        <w:jc w:val="center"/>
      </w:pPr>
      <w:r>
        <w:rPr>
          <w:sz w:val="20"/>
        </w:rPr>
        <w:t xml:space="preserve">(Для получения разрешения на судовые радиостанции,</w:t>
      </w:r>
    </w:p>
    <w:p>
      <w:pPr>
        <w:pStyle w:val="0"/>
        <w:jc w:val="center"/>
      </w:pPr>
      <w:r>
        <w:rPr>
          <w:sz w:val="20"/>
        </w:rPr>
        <w:t xml:space="preserve">продления срока действия разрешения на судовые</w:t>
      </w:r>
    </w:p>
    <w:p>
      <w:pPr>
        <w:pStyle w:val="0"/>
        <w:jc w:val="center"/>
      </w:pPr>
      <w:r>
        <w:rPr>
          <w:sz w:val="20"/>
        </w:rPr>
        <w:t xml:space="preserve">радиостанции, получения разрешения на судовые</w:t>
      </w:r>
    </w:p>
    <w:p>
      <w:pPr>
        <w:pStyle w:val="0"/>
        <w:jc w:val="center"/>
      </w:pPr>
      <w:r>
        <w:rPr>
          <w:sz w:val="20"/>
        </w:rPr>
        <w:t xml:space="preserve">радиостанции в случае прекращения использования</w:t>
      </w:r>
    </w:p>
    <w:p>
      <w:pPr>
        <w:pStyle w:val="0"/>
        <w:jc w:val="center"/>
      </w:pPr>
      <w:r>
        <w:rPr>
          <w:sz w:val="20"/>
        </w:rPr>
        <w:t xml:space="preserve">отдельных радиоэлектронных средств в составе судовой</w:t>
      </w:r>
    </w:p>
    <w:p>
      <w:pPr>
        <w:pStyle w:val="0"/>
        <w:jc w:val="center"/>
      </w:pPr>
      <w:r>
        <w:rPr>
          <w:sz w:val="20"/>
        </w:rPr>
        <w:t xml:space="preserve">радиостанции, утери разрешения на судовые радиостанции</w:t>
      </w:r>
    </w:p>
    <w:p>
      <w:pPr>
        <w:pStyle w:val="0"/>
        <w:jc w:val="center"/>
      </w:pPr>
      <w:r>
        <w:rPr>
          <w:sz w:val="20"/>
        </w:rPr>
        <w:t xml:space="preserve">заявителем, являющимся юридическим лицом</w:t>
      </w:r>
    </w:p>
    <w:p>
      <w:pPr>
        <w:pStyle w:val="0"/>
        <w:jc w:val="center"/>
      </w:pPr>
      <w:r>
        <w:rPr>
          <w:sz w:val="20"/>
        </w:rPr>
        <w:t xml:space="preserve">или индивидуальным предпринимателем)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798"/>
        <w:gridCol w:w="340"/>
        <w:gridCol w:w="340"/>
        <w:gridCol w:w="340"/>
        <w:gridCol w:w="340"/>
        <w:gridCol w:w="340"/>
        <w:gridCol w:w="340"/>
        <w:gridCol w:w="340"/>
        <w:gridCol w:w="396"/>
        <w:gridCol w:w="396"/>
        <w:gridCol w:w="396"/>
        <w:gridCol w:w="396"/>
        <w:gridCol w:w="396"/>
        <w:gridCol w:w="340"/>
      </w:tblGrid>
      <w:tr>
        <w:tc>
          <w:tcPr>
            <w:tcW w:w="566" w:type="dxa"/>
            <w:vAlign w:val="center"/>
          </w:tcPr>
          <w:p>
            <w:pPr>
              <w:pStyle w:val="0"/>
              <w:jc w:val="center"/>
            </w:pPr>
            <w:r>
              <w:rPr>
                <w:sz w:val="20"/>
              </w:rPr>
              <w:t xml:space="preserve">1</w:t>
            </w:r>
          </w:p>
        </w:tc>
        <w:tc>
          <w:tcPr>
            <w:tcW w:w="3798" w:type="dxa"/>
          </w:tcPr>
          <w:p>
            <w:pPr>
              <w:pStyle w:val="0"/>
              <w:jc w:val="both"/>
            </w:pPr>
            <w:r>
              <w:rPr>
                <w:sz w:val="20"/>
              </w:rPr>
              <w:t xml:space="preserve">Организационно-правовая форма и полное наименование юридического лица или индивидуального предпринимателя</w:t>
            </w:r>
          </w:p>
        </w:tc>
        <w:tc>
          <w:tcPr>
            <w:gridSpan w:val="13"/>
            <w:tcW w:w="4700" w:type="dxa"/>
          </w:tcPr>
          <w:p>
            <w:pPr>
              <w:pStyle w:val="0"/>
            </w:pPr>
            <w:r>
              <w:rPr>
                <w:sz w:val="20"/>
              </w:rPr>
            </w:r>
          </w:p>
        </w:tc>
      </w:tr>
      <w:tr>
        <w:tc>
          <w:tcPr>
            <w:tcW w:w="566" w:type="dxa"/>
            <w:vAlign w:val="center"/>
          </w:tcPr>
          <w:p>
            <w:pPr>
              <w:pStyle w:val="0"/>
              <w:jc w:val="center"/>
            </w:pPr>
            <w:r>
              <w:rPr>
                <w:sz w:val="20"/>
              </w:rPr>
              <w:t xml:space="preserve">2</w:t>
            </w:r>
          </w:p>
        </w:tc>
        <w:tc>
          <w:tcPr>
            <w:tcW w:w="3798" w:type="dxa"/>
          </w:tcPr>
          <w:p>
            <w:pPr>
              <w:pStyle w:val="0"/>
              <w:jc w:val="both"/>
            </w:pPr>
            <w:r>
              <w:rPr>
                <w:sz w:val="20"/>
              </w:rPr>
              <w:t xml:space="preserve">Почтовый адрес заявителя</w:t>
            </w:r>
          </w:p>
        </w:tc>
        <w:tc>
          <w:tcPr>
            <w:gridSpan w:val="13"/>
            <w:tcW w:w="4700" w:type="dxa"/>
          </w:tcPr>
          <w:p>
            <w:pPr>
              <w:pStyle w:val="0"/>
            </w:pPr>
            <w:r>
              <w:rPr>
                <w:sz w:val="20"/>
              </w:rPr>
            </w:r>
          </w:p>
        </w:tc>
      </w:tr>
      <w:tr>
        <w:tc>
          <w:tcPr>
            <w:tcW w:w="566" w:type="dxa"/>
            <w:vAlign w:val="center"/>
          </w:tcPr>
          <w:p>
            <w:pPr>
              <w:pStyle w:val="0"/>
              <w:jc w:val="center"/>
            </w:pPr>
            <w:r>
              <w:rPr>
                <w:sz w:val="20"/>
              </w:rPr>
              <w:t xml:space="preserve">3</w:t>
            </w:r>
          </w:p>
        </w:tc>
        <w:tc>
          <w:tcPr>
            <w:tcW w:w="3798" w:type="dxa"/>
          </w:tcPr>
          <w:p>
            <w:pPr>
              <w:pStyle w:val="0"/>
              <w:jc w:val="both"/>
            </w:pPr>
            <w:r>
              <w:rPr>
                <w:sz w:val="20"/>
              </w:rPr>
              <w:t xml:space="preserve">Адрес местонахождения (в соответствии с учредительными документами)</w:t>
            </w:r>
          </w:p>
        </w:tc>
        <w:tc>
          <w:tcPr>
            <w:gridSpan w:val="13"/>
            <w:tcW w:w="4700" w:type="dxa"/>
          </w:tcPr>
          <w:p>
            <w:pPr>
              <w:pStyle w:val="0"/>
            </w:pPr>
            <w:r>
              <w:rPr>
                <w:sz w:val="20"/>
              </w:rPr>
            </w:r>
          </w:p>
        </w:tc>
      </w:tr>
      <w:tr>
        <w:tc>
          <w:tcPr>
            <w:tcW w:w="566" w:type="dxa"/>
            <w:vAlign w:val="center"/>
          </w:tcPr>
          <w:p>
            <w:pPr>
              <w:pStyle w:val="0"/>
              <w:jc w:val="center"/>
            </w:pPr>
            <w:r>
              <w:rPr>
                <w:sz w:val="20"/>
              </w:rPr>
              <w:t xml:space="preserve">4</w:t>
            </w:r>
          </w:p>
        </w:tc>
        <w:tc>
          <w:tcPr>
            <w:tcW w:w="3798" w:type="dxa"/>
          </w:tcPr>
          <w:p>
            <w:pPr>
              <w:pStyle w:val="0"/>
              <w:jc w:val="both"/>
            </w:pPr>
            <w:r>
              <w:rPr>
                <w:sz w:val="20"/>
              </w:rPr>
              <w:t xml:space="preserve">Код города, номер контактного телефона и (или) факса</w:t>
            </w:r>
          </w:p>
        </w:tc>
        <w:tc>
          <w:tcPr>
            <w:gridSpan w:val="13"/>
            <w:tcW w:w="4700" w:type="dxa"/>
          </w:tcPr>
          <w:p>
            <w:pPr>
              <w:pStyle w:val="0"/>
            </w:pPr>
            <w:r>
              <w:rPr>
                <w:sz w:val="20"/>
              </w:rPr>
            </w:r>
          </w:p>
        </w:tc>
      </w:tr>
      <w:tr>
        <w:tc>
          <w:tcPr>
            <w:tcW w:w="566" w:type="dxa"/>
            <w:vAlign w:val="center"/>
          </w:tcPr>
          <w:p>
            <w:pPr>
              <w:pStyle w:val="0"/>
              <w:jc w:val="center"/>
            </w:pPr>
            <w:r>
              <w:rPr>
                <w:sz w:val="20"/>
              </w:rPr>
              <w:t xml:space="preserve">5</w:t>
            </w:r>
          </w:p>
        </w:tc>
        <w:tc>
          <w:tcPr>
            <w:tcW w:w="3798" w:type="dxa"/>
          </w:tcPr>
          <w:p>
            <w:pPr>
              <w:pStyle w:val="0"/>
              <w:jc w:val="both"/>
            </w:pPr>
            <w:r>
              <w:rPr>
                <w:sz w:val="20"/>
              </w:rPr>
              <w:t xml:space="preserve">Основной государственный регистрационный номер (ОГРН) (для юридического лица)</w:t>
            </w:r>
          </w:p>
        </w:tc>
        <w:tc>
          <w:tcPr>
            <w:gridSpan w:val="13"/>
            <w:tcW w:w="4700" w:type="dxa"/>
          </w:tcPr>
          <w:p>
            <w:pPr>
              <w:pStyle w:val="0"/>
            </w:pPr>
            <w:r>
              <w:rPr>
                <w:sz w:val="20"/>
              </w:rPr>
            </w:r>
          </w:p>
        </w:tc>
      </w:tr>
      <w:tr>
        <w:tc>
          <w:tcPr>
            <w:tcW w:w="566" w:type="dxa"/>
            <w:vAlign w:val="center"/>
          </w:tcPr>
          <w:p>
            <w:pPr>
              <w:pStyle w:val="0"/>
              <w:jc w:val="center"/>
            </w:pPr>
            <w:r>
              <w:rPr>
                <w:sz w:val="20"/>
              </w:rPr>
              <w:t xml:space="preserve">6</w:t>
            </w:r>
          </w:p>
        </w:tc>
        <w:tc>
          <w:tcPr>
            <w:tcW w:w="3798" w:type="dxa"/>
          </w:tcPr>
          <w:p>
            <w:pPr>
              <w:pStyle w:val="0"/>
              <w:jc w:val="both"/>
            </w:pPr>
            <w:r>
              <w:rPr>
                <w:sz w:val="20"/>
              </w:rPr>
              <w:t xml:space="preserve">Идентификационный номер налогоплательщика (ИНН)</w:t>
            </w:r>
          </w:p>
        </w:tc>
        <w:tc>
          <w:tcPr>
            <w:gridSpan w:val="13"/>
            <w:tcW w:w="4700" w:type="dxa"/>
          </w:tcPr>
          <w:p>
            <w:pPr>
              <w:pStyle w:val="0"/>
            </w:pPr>
            <w:r>
              <w:rPr>
                <w:sz w:val="20"/>
              </w:rPr>
            </w:r>
          </w:p>
        </w:tc>
      </w:tr>
      <w:tr>
        <w:tc>
          <w:tcPr>
            <w:tcW w:w="566" w:type="dxa"/>
            <w:vAlign w:val="center"/>
          </w:tcPr>
          <w:p>
            <w:pPr>
              <w:pStyle w:val="0"/>
              <w:jc w:val="center"/>
            </w:pPr>
            <w:r>
              <w:rPr>
                <w:sz w:val="20"/>
              </w:rPr>
              <w:t xml:space="preserve">7</w:t>
            </w:r>
          </w:p>
        </w:tc>
        <w:tc>
          <w:tcPr>
            <w:tcW w:w="3798" w:type="dxa"/>
          </w:tcPr>
          <w:p>
            <w:pPr>
              <w:pStyle w:val="0"/>
              <w:jc w:val="both"/>
            </w:pPr>
            <w:r>
              <w:rPr>
                <w:sz w:val="20"/>
              </w:rPr>
              <w:t xml:space="preserve">Страховой номер индивидуального лицевого счета (СНИЛС) (для индивидуального предпринимателя)</w:t>
            </w:r>
          </w:p>
        </w:tc>
        <w:tc>
          <w:tcPr>
            <w:gridSpan w:val="13"/>
            <w:tcW w:w="4700" w:type="dxa"/>
          </w:tcPr>
          <w:p>
            <w:pPr>
              <w:pStyle w:val="0"/>
            </w:pPr>
            <w:r>
              <w:rPr>
                <w:sz w:val="20"/>
              </w:rPr>
            </w:r>
          </w:p>
        </w:tc>
      </w:tr>
      <w:tr>
        <w:tc>
          <w:tcPr>
            <w:tcW w:w="566" w:type="dxa"/>
            <w:vAlign w:val="center"/>
          </w:tcPr>
          <w:p>
            <w:pPr>
              <w:pStyle w:val="0"/>
              <w:jc w:val="center"/>
            </w:pPr>
            <w:r>
              <w:rPr>
                <w:sz w:val="20"/>
              </w:rPr>
              <w:t xml:space="preserve">8</w:t>
            </w:r>
          </w:p>
        </w:tc>
        <w:tc>
          <w:tcPr>
            <w:tcW w:w="3798" w:type="dxa"/>
          </w:tcPr>
          <w:p>
            <w:pPr>
              <w:pStyle w:val="0"/>
              <w:jc w:val="both"/>
            </w:pPr>
            <w:r>
              <w:rPr>
                <w:sz w:val="20"/>
              </w:rPr>
              <w:t xml:space="preserve">Код причины постановки на учет (КПП) (для юридического лица)</w:t>
            </w:r>
          </w:p>
        </w:tc>
        <w:tc>
          <w:tcPr>
            <w:gridSpan w:val="13"/>
            <w:tcW w:w="4700" w:type="dxa"/>
          </w:tcPr>
          <w:p>
            <w:pPr>
              <w:pStyle w:val="0"/>
            </w:pPr>
            <w:r>
              <w:rPr>
                <w:sz w:val="20"/>
              </w:rPr>
            </w:r>
          </w:p>
        </w:tc>
      </w:tr>
      <w:tr>
        <w:tc>
          <w:tcPr>
            <w:tcW w:w="566" w:type="dxa"/>
            <w:vAlign w:val="center"/>
          </w:tcPr>
          <w:p>
            <w:pPr>
              <w:pStyle w:val="0"/>
              <w:jc w:val="center"/>
            </w:pPr>
            <w:r>
              <w:rPr>
                <w:sz w:val="20"/>
              </w:rPr>
              <w:t xml:space="preserve">9</w:t>
            </w:r>
          </w:p>
        </w:tc>
        <w:tc>
          <w:tcPr>
            <w:tcW w:w="3798" w:type="dxa"/>
          </w:tcPr>
          <w:p>
            <w:pPr>
              <w:pStyle w:val="0"/>
              <w:jc w:val="both"/>
            </w:pPr>
            <w:r>
              <w:rPr>
                <w:sz w:val="20"/>
              </w:rPr>
              <w:t xml:space="preserve">Название судна</w:t>
            </w:r>
          </w:p>
        </w:tc>
        <w:tc>
          <w:tcPr>
            <w:gridSpan w:val="13"/>
            <w:tcW w:w="4700" w:type="dxa"/>
          </w:tcPr>
          <w:p>
            <w:pPr>
              <w:pStyle w:val="0"/>
            </w:pPr>
            <w:r>
              <w:rPr>
                <w:sz w:val="20"/>
              </w:rPr>
            </w:r>
          </w:p>
        </w:tc>
      </w:tr>
      <w:tr>
        <w:tc>
          <w:tcPr>
            <w:tcW w:w="566" w:type="dxa"/>
            <w:vAlign w:val="center"/>
          </w:tcPr>
          <w:p>
            <w:pPr>
              <w:pStyle w:val="0"/>
              <w:jc w:val="center"/>
            </w:pPr>
            <w:r>
              <w:rPr>
                <w:sz w:val="20"/>
              </w:rPr>
              <w:t xml:space="preserve">10</w:t>
            </w:r>
          </w:p>
        </w:tc>
        <w:tc>
          <w:tcPr>
            <w:tcW w:w="3798" w:type="dxa"/>
          </w:tcPr>
          <w:p>
            <w:pPr>
              <w:pStyle w:val="0"/>
              <w:jc w:val="both"/>
            </w:pPr>
            <w:r>
              <w:rPr>
                <w:sz w:val="20"/>
              </w:rPr>
              <w:t xml:space="preserve">Идентификационный номер судна, присвоенный международной морской организацией/регистрационный номер (для маломерного судна)</w:t>
            </w:r>
          </w:p>
        </w:tc>
        <w:tc>
          <w:tcPr>
            <w:gridSpan w:val="13"/>
            <w:tcW w:w="4700" w:type="dxa"/>
          </w:tcPr>
          <w:p>
            <w:pPr>
              <w:pStyle w:val="0"/>
            </w:pPr>
            <w:r>
              <w:rPr>
                <w:sz w:val="20"/>
              </w:rPr>
            </w:r>
          </w:p>
        </w:tc>
      </w:tr>
      <w:tr>
        <w:tc>
          <w:tcPr>
            <w:tcW w:w="566" w:type="dxa"/>
            <w:vAlign w:val="center"/>
          </w:tcPr>
          <w:p>
            <w:pPr>
              <w:pStyle w:val="0"/>
              <w:jc w:val="center"/>
            </w:pPr>
            <w:r>
              <w:rPr>
                <w:sz w:val="20"/>
              </w:rPr>
              <w:t xml:space="preserve">11</w:t>
            </w:r>
          </w:p>
        </w:tc>
        <w:tc>
          <w:tcPr>
            <w:tcW w:w="3798" w:type="dxa"/>
          </w:tcPr>
          <w:p>
            <w:pPr>
              <w:pStyle w:val="0"/>
              <w:jc w:val="both"/>
            </w:pPr>
            <w:r>
              <w:rPr>
                <w:sz w:val="20"/>
              </w:rPr>
              <w:t xml:space="preserve">Серия и номер свидетельства о праве собственности на судно</w:t>
            </w:r>
          </w:p>
        </w:tc>
        <w:tc>
          <w:tcPr>
            <w:gridSpan w:val="13"/>
            <w:tcW w:w="4700" w:type="dxa"/>
          </w:tcPr>
          <w:p>
            <w:pPr>
              <w:pStyle w:val="0"/>
            </w:pPr>
            <w:r>
              <w:rPr>
                <w:sz w:val="20"/>
              </w:rPr>
            </w:r>
          </w:p>
        </w:tc>
      </w:tr>
      <w:tr>
        <w:tc>
          <w:tcPr>
            <w:tcW w:w="566" w:type="dxa"/>
            <w:vAlign w:val="center"/>
          </w:tcPr>
          <w:p>
            <w:pPr>
              <w:pStyle w:val="0"/>
              <w:jc w:val="center"/>
            </w:pPr>
            <w:r>
              <w:rPr>
                <w:sz w:val="20"/>
              </w:rPr>
              <w:t xml:space="preserve">12</w:t>
            </w:r>
          </w:p>
        </w:tc>
        <w:tc>
          <w:tcPr>
            <w:tcW w:w="3798" w:type="dxa"/>
          </w:tcPr>
          <w:p>
            <w:pPr>
              <w:pStyle w:val="0"/>
              <w:jc w:val="both"/>
            </w:pPr>
            <w:r>
              <w:rPr>
                <w:sz w:val="20"/>
              </w:rPr>
              <w:t xml:space="preserve">Серия и номер свидетельства о праве плавания под Государственным флагом Российской Федерации</w:t>
            </w:r>
          </w:p>
        </w:tc>
        <w:tc>
          <w:tcPr>
            <w:gridSpan w:val="13"/>
            <w:tcW w:w="4700" w:type="dxa"/>
          </w:tcPr>
          <w:p>
            <w:pPr>
              <w:pStyle w:val="0"/>
            </w:pPr>
            <w:r>
              <w:rPr>
                <w:sz w:val="20"/>
              </w:rPr>
            </w:r>
          </w:p>
        </w:tc>
      </w:tr>
      <w:tr>
        <w:tc>
          <w:tcPr>
            <w:tcW w:w="566" w:type="dxa"/>
            <w:vAlign w:val="center"/>
          </w:tcPr>
          <w:p>
            <w:pPr>
              <w:pStyle w:val="0"/>
              <w:jc w:val="center"/>
            </w:pPr>
            <w:r>
              <w:rPr>
                <w:sz w:val="20"/>
              </w:rPr>
              <w:t xml:space="preserve">13</w:t>
            </w:r>
          </w:p>
        </w:tc>
        <w:tc>
          <w:tcPr>
            <w:tcW w:w="3798" w:type="dxa"/>
          </w:tcPr>
          <w:p>
            <w:pPr>
              <w:pStyle w:val="0"/>
              <w:jc w:val="both"/>
            </w:pPr>
            <w:r>
              <w:rPr>
                <w:sz w:val="20"/>
              </w:rPr>
              <w:t xml:space="preserve">Порт регистрации судна (для получения разрешения на судовые радиостанции)</w:t>
            </w:r>
          </w:p>
        </w:tc>
        <w:tc>
          <w:tcPr>
            <w:gridSpan w:val="13"/>
            <w:tcW w:w="4700" w:type="dxa"/>
          </w:tcPr>
          <w:p>
            <w:pPr>
              <w:pStyle w:val="0"/>
            </w:pPr>
            <w:r>
              <w:rPr>
                <w:sz w:val="20"/>
              </w:rPr>
            </w:r>
          </w:p>
        </w:tc>
      </w:tr>
      <w:tr>
        <w:tc>
          <w:tcPr>
            <w:tcW w:w="566" w:type="dxa"/>
            <w:vAlign w:val="center"/>
          </w:tcPr>
          <w:p>
            <w:pPr>
              <w:pStyle w:val="0"/>
              <w:jc w:val="center"/>
            </w:pPr>
            <w:r>
              <w:rPr>
                <w:sz w:val="20"/>
              </w:rPr>
              <w:t xml:space="preserve">14</w:t>
            </w:r>
          </w:p>
        </w:tc>
        <w:tc>
          <w:tcPr>
            <w:tcW w:w="3798" w:type="dxa"/>
          </w:tcPr>
          <w:p>
            <w:pPr>
              <w:pStyle w:val="0"/>
              <w:jc w:val="both"/>
            </w:pPr>
            <w:r>
              <w:rPr>
                <w:sz w:val="20"/>
              </w:rPr>
              <w:t xml:space="preserve">Номер и дата заключения радиочастотной службы (не заполняется в случаях, предусмотренных </w:t>
            </w:r>
            <w:hyperlink w:history="0" w:anchor="P398" w:tooltip="71. Выдача разрешений на судовые радиостанции осуществляется без Заключения радиочастотной службы в следующих случаях:">
              <w:r>
                <w:rPr>
                  <w:sz w:val="20"/>
                  <w:color w:val="0000ff"/>
                </w:rPr>
                <w:t xml:space="preserve">пунктом 71</w:t>
              </w:r>
            </w:hyperlink>
            <w:r>
              <w:rPr>
                <w:sz w:val="20"/>
              </w:rPr>
              <w:t xml:space="preserve"> настоящего Регламента)</w:t>
            </w:r>
          </w:p>
        </w:tc>
        <w:tc>
          <w:tcPr>
            <w:gridSpan w:val="13"/>
            <w:tcW w:w="4700" w:type="dxa"/>
          </w:tcPr>
          <w:p>
            <w:pPr>
              <w:pStyle w:val="0"/>
            </w:pPr>
            <w:r>
              <w:rPr>
                <w:sz w:val="20"/>
              </w:rPr>
            </w:r>
          </w:p>
        </w:tc>
      </w:tr>
      <w:tr>
        <w:tc>
          <w:tcPr>
            <w:tcW w:w="566" w:type="dxa"/>
            <w:vAlign w:val="center"/>
          </w:tcPr>
          <w:p>
            <w:pPr>
              <w:pStyle w:val="0"/>
              <w:jc w:val="center"/>
            </w:pPr>
            <w:r>
              <w:rPr>
                <w:sz w:val="20"/>
              </w:rPr>
              <w:t xml:space="preserve">15</w:t>
            </w:r>
          </w:p>
        </w:tc>
        <w:tc>
          <w:tcPr>
            <w:tcW w:w="3798" w:type="dxa"/>
          </w:tcPr>
          <w:p>
            <w:pPr>
              <w:pStyle w:val="0"/>
              <w:jc w:val="both"/>
            </w:pPr>
            <w:r>
              <w:rPr>
                <w:sz w:val="20"/>
              </w:rPr>
              <w:t xml:space="preserve">Номер и дата действующего разрешения на судовые радиостанции (в случае наличия)</w:t>
            </w:r>
          </w:p>
        </w:tc>
        <w:tc>
          <w:tcPr>
            <w:gridSpan w:val="13"/>
            <w:tcW w:w="4700" w:type="dxa"/>
          </w:tcPr>
          <w:p>
            <w:pPr>
              <w:pStyle w:val="0"/>
            </w:pPr>
            <w:r>
              <w:rPr>
                <w:sz w:val="20"/>
              </w:rPr>
            </w:r>
          </w:p>
        </w:tc>
      </w:tr>
      <w:tr>
        <w:tc>
          <w:tcPr>
            <w:tcW w:w="566" w:type="dxa"/>
            <w:vAlign w:val="center"/>
          </w:tcPr>
          <w:p>
            <w:pPr>
              <w:pStyle w:val="0"/>
              <w:jc w:val="center"/>
            </w:pPr>
            <w:r>
              <w:rPr>
                <w:sz w:val="20"/>
              </w:rPr>
              <w:t xml:space="preserve">16</w:t>
            </w:r>
          </w:p>
        </w:tc>
        <w:tc>
          <w:tcPr>
            <w:tcW w:w="3798" w:type="dxa"/>
          </w:tcPr>
          <w:p>
            <w:pPr>
              <w:pStyle w:val="0"/>
              <w:jc w:val="both"/>
            </w:pPr>
            <w:r>
              <w:rPr>
                <w:sz w:val="20"/>
              </w:rPr>
              <w:t xml:space="preserve">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gridSpan w:val="13"/>
            <w:tcW w:w="4700" w:type="dxa"/>
          </w:tcPr>
          <w:p>
            <w:pPr>
              <w:pStyle w:val="0"/>
            </w:pPr>
            <w:r>
              <w:rPr>
                <w:sz w:val="20"/>
              </w:rPr>
            </w:r>
          </w:p>
        </w:tc>
      </w:tr>
      <w:tr>
        <w:tc>
          <w:tcPr>
            <w:tcW w:w="566" w:type="dxa"/>
            <w:vAlign w:val="center"/>
            <w:vMerge w:val="restart"/>
          </w:tcPr>
          <w:p>
            <w:pPr>
              <w:pStyle w:val="0"/>
              <w:jc w:val="center"/>
            </w:pPr>
            <w:r>
              <w:rPr>
                <w:sz w:val="20"/>
              </w:rPr>
              <w:t xml:space="preserve">17 &lt;1&gt;</w:t>
            </w:r>
          </w:p>
        </w:tc>
        <w:tc>
          <w:tcPr>
            <w:tcW w:w="3798" w:type="dxa"/>
            <w:vMerge w:val="restart"/>
          </w:tcPr>
          <w:p>
            <w:pPr>
              <w:pStyle w:val="0"/>
              <w:jc w:val="both"/>
            </w:pPr>
            <w:r>
              <w:rPr>
                <w:sz w:val="20"/>
              </w:rPr>
              <w:t xml:space="preserve">Категория корреспонденции &lt;2&gt;</w:t>
            </w:r>
          </w:p>
        </w:tc>
        <w:tc>
          <w:tcPr>
            <w:tcW w:w="340" w:type="dxa"/>
            <w:tcBorders>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bottom w:val="nil"/>
            </w:tcBorders>
          </w:tcPr>
          <w:p>
            <w:pPr>
              <w:pStyle w:val="0"/>
            </w:pPr>
            <w:r>
              <w:rPr>
                <w:sz w:val="20"/>
              </w:rPr>
            </w:r>
          </w:p>
        </w:tc>
        <w:tc>
          <w:tcPr>
            <w:tcW w:w="396" w:type="dxa"/>
          </w:tcPr>
          <w:p>
            <w:pPr>
              <w:pStyle w:val="0"/>
            </w:pPr>
            <w:r>
              <w:rPr>
                <w:sz w:val="20"/>
              </w:rPr>
            </w:r>
          </w:p>
        </w:tc>
        <w:tc>
          <w:tcPr>
            <w:tcW w:w="396" w:type="dxa"/>
          </w:tcPr>
          <w:p>
            <w:pPr>
              <w:pStyle w:val="0"/>
            </w:pPr>
            <w:r>
              <w:rPr>
                <w:sz w:val="20"/>
              </w:rPr>
            </w:r>
          </w:p>
        </w:tc>
        <w:tc>
          <w:tcPr>
            <w:tcW w:w="396" w:type="dxa"/>
            <w:tcBorders>
              <w:bottom w:val="nil"/>
            </w:tcBorders>
          </w:tcPr>
          <w:p>
            <w:pPr>
              <w:pStyle w:val="0"/>
            </w:pPr>
            <w:r>
              <w:rPr>
                <w:sz w:val="20"/>
              </w:rPr>
            </w:r>
          </w:p>
        </w:tc>
        <w:tc>
          <w:tcPr>
            <w:tcW w:w="396" w:type="dxa"/>
          </w:tcPr>
          <w:p>
            <w:pPr>
              <w:pStyle w:val="0"/>
            </w:pPr>
            <w:r>
              <w:rPr>
                <w:sz w:val="20"/>
              </w:rPr>
            </w:r>
          </w:p>
        </w:tc>
        <w:tc>
          <w:tcPr>
            <w:tcW w:w="396" w:type="dxa"/>
          </w:tcPr>
          <w:p>
            <w:pPr>
              <w:pStyle w:val="0"/>
            </w:pPr>
            <w:r>
              <w:rPr>
                <w:sz w:val="20"/>
              </w:rPr>
            </w:r>
          </w:p>
        </w:tc>
        <w:tc>
          <w:tcPr>
            <w:tcW w:w="340" w:type="dxa"/>
            <w:tcBorders>
              <w:bottom w:val="nil"/>
            </w:tcBorders>
          </w:tcPr>
          <w:p>
            <w:pPr>
              <w:pStyle w:val="0"/>
            </w:pPr>
            <w:r>
              <w:rPr>
                <w:sz w:val="20"/>
              </w:rPr>
            </w:r>
          </w:p>
        </w:tc>
      </w:tr>
      <w:tr>
        <w:tc>
          <w:tcPr>
            <w:vMerge w:val="continue"/>
          </w:tcPr>
          <w:p/>
        </w:tc>
        <w:tc>
          <w:tcPr>
            <w:vMerge w:val="continue"/>
          </w:tcPr>
          <w:p/>
        </w:tc>
        <w:tc>
          <w:tcPr>
            <w:gridSpan w:val="13"/>
            <w:tcW w:w="4700" w:type="dxa"/>
            <w:tcBorders>
              <w:top w:val="nil"/>
            </w:tcBorders>
          </w:tcPr>
          <w:p>
            <w:pPr>
              <w:pStyle w:val="0"/>
            </w:pPr>
            <w:r>
              <w:rPr>
                <w:sz w:val="20"/>
              </w:rPr>
            </w:r>
          </w:p>
        </w:tc>
      </w:tr>
      <w:tr>
        <w:tc>
          <w:tcPr>
            <w:tcW w:w="566" w:type="dxa"/>
            <w:vAlign w:val="center"/>
            <w:vMerge w:val="restart"/>
          </w:tcPr>
          <w:p>
            <w:pPr>
              <w:pStyle w:val="0"/>
              <w:jc w:val="center"/>
            </w:pPr>
            <w:r>
              <w:rPr>
                <w:sz w:val="20"/>
              </w:rPr>
              <w:t xml:space="preserve">18 &lt;3&gt;</w:t>
            </w:r>
          </w:p>
        </w:tc>
        <w:tc>
          <w:tcPr>
            <w:tcW w:w="3798" w:type="dxa"/>
            <w:vMerge w:val="restart"/>
          </w:tcPr>
          <w:p>
            <w:pPr>
              <w:pStyle w:val="0"/>
              <w:jc w:val="both"/>
            </w:pPr>
            <w:r>
              <w:rPr>
                <w:sz w:val="20"/>
              </w:rPr>
              <w:t xml:space="preserve">Состав оборудования</w:t>
            </w:r>
          </w:p>
        </w:tc>
        <w:tc>
          <w:tcPr>
            <w:gridSpan w:val="6"/>
            <w:tcW w:w="2040" w:type="dxa"/>
            <w:vAlign w:val="bottom"/>
          </w:tcPr>
          <w:p>
            <w:pPr>
              <w:pStyle w:val="0"/>
              <w:jc w:val="center"/>
            </w:pPr>
            <w:r>
              <w:rPr>
                <w:sz w:val="20"/>
              </w:rPr>
              <w:t xml:space="preserve">Тип радиоэлектронных средств</w:t>
            </w:r>
          </w:p>
        </w:tc>
        <w:tc>
          <w:tcPr>
            <w:gridSpan w:val="7"/>
            <w:tcW w:w="2660" w:type="dxa"/>
            <w:vAlign w:val="bottom"/>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tcW w:w="566" w:type="dxa"/>
            <w:vAlign w:val="center"/>
            <w:vMerge w:val="restart"/>
          </w:tcPr>
          <w:p>
            <w:pPr>
              <w:pStyle w:val="0"/>
              <w:jc w:val="center"/>
            </w:pPr>
            <w:r>
              <w:rPr>
                <w:sz w:val="20"/>
              </w:rPr>
              <w:t xml:space="preserve">19 &lt;4&gt;</w:t>
            </w:r>
          </w:p>
        </w:tc>
        <w:tc>
          <w:tcPr>
            <w:tcW w:w="3798" w:type="dxa"/>
            <w:vMerge w:val="restart"/>
          </w:tcPr>
          <w:p>
            <w:pPr>
              <w:pStyle w:val="0"/>
            </w:pPr>
            <w:r>
              <w:rPr>
                <w:sz w:val="20"/>
              </w:rPr>
              <w:t xml:space="preserve">Радиоэлектронные средства, исключаемые из состава судовой радиостанции</w:t>
            </w:r>
          </w:p>
        </w:tc>
        <w:tc>
          <w:tcPr>
            <w:gridSpan w:val="6"/>
            <w:tcW w:w="2040" w:type="dxa"/>
          </w:tcPr>
          <w:p>
            <w:pPr>
              <w:pStyle w:val="0"/>
              <w:jc w:val="center"/>
            </w:pPr>
            <w:r>
              <w:rPr>
                <w:sz w:val="20"/>
              </w:rPr>
              <w:t xml:space="preserve">Тип радиоэлектронных средств</w:t>
            </w:r>
          </w:p>
        </w:tc>
        <w:tc>
          <w:tcPr>
            <w:gridSpan w:val="7"/>
            <w:tcW w:w="2660" w:type="dxa"/>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r>
        <w:tc>
          <w:tcPr>
            <w:vMerge w:val="continue"/>
          </w:tcPr>
          <w:p/>
        </w:tc>
        <w:tc>
          <w:tcPr>
            <w:vMerge w:val="continue"/>
          </w:tcPr>
          <w:p/>
        </w:tc>
        <w:tc>
          <w:tcPr>
            <w:gridSpan w:val="6"/>
            <w:tcW w:w="2040" w:type="dxa"/>
          </w:tcPr>
          <w:p>
            <w:pPr>
              <w:pStyle w:val="0"/>
            </w:pPr>
            <w:r>
              <w:rPr>
                <w:sz w:val="20"/>
              </w:rPr>
            </w:r>
          </w:p>
        </w:tc>
        <w:tc>
          <w:tcPr>
            <w:gridSpan w:val="7"/>
            <w:tcW w:w="2660" w:type="dxa"/>
          </w:tcPr>
          <w:p>
            <w:pPr>
              <w:pStyle w:val="0"/>
            </w:pPr>
            <w:r>
              <w:rPr>
                <w:sz w:val="20"/>
              </w:rPr>
            </w:r>
          </w:p>
        </w:tc>
      </w:tr>
    </w:tbl>
    <w:p>
      <w:pPr>
        <w:pStyle w:val="0"/>
        <w:jc w:val="both"/>
      </w:pPr>
      <w:r>
        <w:rPr>
          <w:sz w:val="20"/>
        </w:rPr>
      </w:r>
    </w:p>
    <w:p>
      <w:pPr>
        <w:pStyle w:val="1"/>
        <w:jc w:val="both"/>
      </w:pPr>
      <w:r>
        <w:rPr>
          <w:sz w:val="20"/>
        </w:rPr>
        <w:t xml:space="preserve">    Прошу  выдать  разрешение  на  судовые  радиостанции,  используемые  на</w:t>
      </w:r>
    </w:p>
    <w:p>
      <w:pPr>
        <w:pStyle w:val="1"/>
        <w:jc w:val="both"/>
      </w:pPr>
      <w:r>
        <w:rPr>
          <w:sz w:val="20"/>
        </w:rPr>
        <w:t xml:space="preserve">___________________________________________________________________________</w:t>
      </w:r>
    </w:p>
    <w:p>
      <w:pPr>
        <w:pStyle w:val="1"/>
        <w:jc w:val="both"/>
      </w:pPr>
      <w:r>
        <w:rPr>
          <w:sz w:val="20"/>
        </w:rPr>
        <w:t xml:space="preserve">       (морском судне, судне внутреннего плавания, судне смешанного</w:t>
      </w:r>
    </w:p>
    <w:p>
      <w:pPr>
        <w:pStyle w:val="1"/>
        <w:jc w:val="both"/>
      </w:pPr>
      <w:r>
        <w:rPr>
          <w:sz w:val="20"/>
        </w:rPr>
        <w:t xml:space="preserve">                           (река-море) плавания)</w:t>
      </w:r>
    </w:p>
    <w:p>
      <w:pPr>
        <w:pStyle w:val="1"/>
        <w:jc w:val="both"/>
      </w:pPr>
      <w:r>
        <w:rPr>
          <w:sz w:val="20"/>
        </w:rPr>
      </w:r>
    </w:p>
    <w:p>
      <w:pPr>
        <w:pStyle w:val="1"/>
        <w:jc w:val="both"/>
      </w:pPr>
      <w:r>
        <w:rPr>
          <w:sz w:val="20"/>
        </w:rPr>
        <w:t xml:space="preserve">в связи с _________________________________________________________________</w:t>
      </w:r>
    </w:p>
    <w:p>
      <w:pPr>
        <w:pStyle w:val="1"/>
        <w:jc w:val="both"/>
      </w:pPr>
      <w:r>
        <w:rPr>
          <w:sz w:val="20"/>
        </w:rPr>
        <w:t xml:space="preserve">(указать причину:  получение разрешения на судовые  радиостанции, продление</w:t>
      </w:r>
    </w:p>
    <w:p>
      <w:pPr>
        <w:pStyle w:val="1"/>
        <w:jc w:val="both"/>
      </w:pPr>
      <w:r>
        <w:rPr>
          <w:sz w:val="20"/>
        </w:rPr>
        <w:t xml:space="preserve">срока  действия  разрешения  на  судовые радиостанции, получение разрешения</w:t>
      </w:r>
    </w:p>
    <w:p>
      <w:pPr>
        <w:pStyle w:val="1"/>
        <w:jc w:val="both"/>
      </w:pPr>
      <w:r>
        <w:rPr>
          <w:sz w:val="20"/>
        </w:rPr>
        <w:t xml:space="preserve">на  судовые  радиостанции  в  случае  прекращения  использования  отдельных</w:t>
      </w:r>
    </w:p>
    <w:p>
      <w:pPr>
        <w:pStyle w:val="1"/>
        <w:jc w:val="both"/>
      </w:pPr>
      <w:r>
        <w:rPr>
          <w:sz w:val="20"/>
        </w:rPr>
        <w:t xml:space="preserve">радиоэлектронных  средств  в составе судовой радиостанции, утери разрешения</w:t>
      </w:r>
    </w:p>
    <w:p>
      <w:pPr>
        <w:pStyle w:val="1"/>
        <w:jc w:val="both"/>
      </w:pPr>
      <w:r>
        <w:rPr>
          <w:sz w:val="20"/>
        </w:rPr>
        <w:t xml:space="preserve">на судовые радиостанции)</w:t>
      </w:r>
    </w:p>
    <w:p>
      <w:pPr>
        <w:pStyle w:val="1"/>
        <w:jc w:val="both"/>
      </w:pPr>
      <w:r>
        <w:rPr>
          <w:sz w:val="20"/>
        </w:rPr>
      </w:r>
    </w:p>
    <w:p>
      <w:pPr>
        <w:pStyle w:val="1"/>
        <w:jc w:val="both"/>
      </w:pPr>
      <w:r>
        <w:rPr>
          <w:sz w:val="20"/>
        </w:rPr>
        <w:t xml:space="preserve">Приложение:    1. заявление пользователя судовой радиостанции о прекращении</w:t>
      </w:r>
    </w:p>
    <w:p>
      <w:pPr>
        <w:pStyle w:val="1"/>
        <w:jc w:val="both"/>
      </w:pPr>
      <w:r>
        <w:rPr>
          <w:sz w:val="20"/>
        </w:rPr>
        <w:t xml:space="preserve">               действия   разрешения  на  судовые  радиостанции  (в  случае</w:t>
      </w:r>
    </w:p>
    <w:p>
      <w:pPr>
        <w:pStyle w:val="1"/>
        <w:jc w:val="both"/>
      </w:pPr>
      <w:r>
        <w:rPr>
          <w:sz w:val="20"/>
        </w:rPr>
        <w:t xml:space="preserve">               прекращения использования отдельных радиоэлектронных средств</w:t>
      </w:r>
    </w:p>
    <w:p>
      <w:pPr>
        <w:pStyle w:val="1"/>
        <w:jc w:val="both"/>
      </w:pPr>
      <w:r>
        <w:rPr>
          <w:sz w:val="20"/>
        </w:rPr>
        <w:t xml:space="preserve">               в составе судовой радиостанции).</w:t>
      </w:r>
    </w:p>
    <w:p>
      <w:pPr>
        <w:pStyle w:val="1"/>
        <w:jc w:val="both"/>
      </w:pPr>
      <w:r>
        <w:rPr>
          <w:sz w:val="20"/>
        </w:rPr>
        <w:t xml:space="preserve">               2. копия доверенности на представление интересов заявителя.</w:t>
      </w:r>
    </w:p>
    <w:p>
      <w:pPr>
        <w:pStyle w:val="1"/>
        <w:jc w:val="both"/>
      </w:pPr>
      <w:r>
        <w:rPr>
          <w:sz w:val="20"/>
        </w:rPr>
        <w:t xml:space="preserve">               3. копия  документа, подтверждающего  право  на эксплуатацию</w:t>
      </w:r>
    </w:p>
    <w:p>
      <w:pPr>
        <w:pStyle w:val="1"/>
        <w:jc w:val="both"/>
      </w:pPr>
      <w:r>
        <w:rPr>
          <w:sz w:val="20"/>
        </w:rPr>
        <w:t xml:space="preserve">               судна.</w:t>
      </w:r>
    </w:p>
    <w:p>
      <w:pPr>
        <w:pStyle w:val="1"/>
        <w:jc w:val="both"/>
      </w:pPr>
      <w:r>
        <w:rPr>
          <w:sz w:val="20"/>
        </w:rPr>
        <w:t xml:space="preserve">               4. копия  временного  свидетельства  о  праве  плавания  под</w:t>
      </w:r>
    </w:p>
    <w:p>
      <w:pPr>
        <w:pStyle w:val="1"/>
        <w:jc w:val="both"/>
      </w:pPr>
      <w:r>
        <w:rPr>
          <w:sz w:val="20"/>
        </w:rPr>
        <w:t xml:space="preserve">               Государственным флагом Российской Федерации.</w:t>
      </w:r>
    </w:p>
    <w:p>
      <w:pPr>
        <w:pStyle w:val="1"/>
        <w:jc w:val="both"/>
      </w:pPr>
      <w:r>
        <w:rPr>
          <w:sz w:val="20"/>
        </w:rPr>
      </w:r>
    </w:p>
    <w:p>
      <w:pPr>
        <w:pStyle w:val="1"/>
        <w:jc w:val="both"/>
      </w:pPr>
      <w:r>
        <w:rPr>
          <w:sz w:val="20"/>
        </w:rPr>
        <w:t xml:space="preserve">Руководитель &lt;5&gt;</w:t>
      </w:r>
    </w:p>
    <w:p>
      <w:pPr>
        <w:pStyle w:val="1"/>
        <w:jc w:val="both"/>
      </w:pPr>
      <w:r>
        <w:rPr>
          <w:sz w:val="20"/>
        </w:rPr>
        <w:t xml:space="preserve">                                 _________________ ________________________</w:t>
      </w:r>
    </w:p>
    <w:p>
      <w:pPr>
        <w:pStyle w:val="1"/>
        <w:jc w:val="both"/>
      </w:pPr>
      <w:r>
        <w:rPr>
          <w:sz w:val="20"/>
        </w:rPr>
        <w:t xml:space="preserve">            М.П.                     (подпись)       (инициалы, фамилия)</w:t>
      </w:r>
    </w:p>
    <w:p>
      <w:pPr>
        <w:pStyle w:val="1"/>
        <w:jc w:val="both"/>
      </w:pPr>
      <w:r>
        <w:rPr>
          <w:sz w:val="20"/>
        </w:rPr>
        <w:t xml:space="preserve"> (при наличии - для акционерных</w:t>
      </w:r>
    </w:p>
    <w:p>
      <w:pPr>
        <w:pStyle w:val="1"/>
        <w:jc w:val="both"/>
      </w:pPr>
      <w:r>
        <w:rPr>
          <w:sz w:val="20"/>
        </w:rPr>
        <w:t xml:space="preserve">обществ и обществ с ограниченной</w:t>
      </w:r>
    </w:p>
    <w:p>
      <w:pPr>
        <w:pStyle w:val="1"/>
        <w:jc w:val="both"/>
      </w:pPr>
      <w:r>
        <w:rPr>
          <w:sz w:val="20"/>
        </w:rPr>
        <w:t xml:space="preserve">      ответственностью)</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pPr>
        <w:pStyle w:val="0"/>
        <w:spacing w:before="200" w:line-rule="auto"/>
        <w:ind w:firstLine="540"/>
        <w:jc w:val="both"/>
      </w:pPr>
      <w:r>
        <w:rPr>
          <w:sz w:val="20"/>
        </w:rPr>
        <w:t xml:space="preserve">&lt;2&gt; Категории корреспонденции в соответствии с Регламентом радиосвязи Международного союза электросвязи, утвержденным </w:t>
      </w:r>
      <w:hyperlink w:history="0" r:id="rId56" w:tooltip="Распоряжение Правительства РФ от 17.04.2018 N 685-р &lt;Об утверждении Регламента радиосвязи, принятого по итогам всемирных конференций радиосвязи Международного союза электросвязи в г. Женеве&gt; {КонсультантПлюс}">
        <w:r>
          <w:rPr>
            <w:sz w:val="20"/>
            <w:color w:val="0000ff"/>
          </w:rPr>
          <w:t xml:space="preserve">распоряжением</w:t>
        </w:r>
      </w:hyperlink>
      <w:r>
        <w:rPr>
          <w:sz w:val="20"/>
        </w:rPr>
        <w:t xml:space="preserve"> Правительства Российской Федерации от 17 апреля 2018 г. N 685-р (Собрание законодательства Российской Федерации, 2018, N 17, ст. 2551):</w:t>
      </w:r>
    </w:p>
    <w:p>
      <w:pPr>
        <w:pStyle w:val="0"/>
        <w:spacing w:before="200" w:line-rule="auto"/>
        <w:ind w:firstLine="540"/>
        <w:jc w:val="both"/>
      </w:pPr>
      <w:r>
        <w:rPr>
          <w:sz w:val="20"/>
        </w:rPr>
        <w:t xml:space="preserve">- для официальной корреспонденции (CO),</w:t>
      </w:r>
    </w:p>
    <w:p>
      <w:pPr>
        <w:pStyle w:val="0"/>
        <w:spacing w:before="200" w:line-rule="auto"/>
        <w:ind w:firstLine="540"/>
        <w:jc w:val="both"/>
      </w:pPr>
      <w:r>
        <w:rPr>
          <w:sz w:val="20"/>
        </w:rPr>
        <w:t xml:space="preserve">- для общественной корреспонденции (CP),</w:t>
      </w:r>
    </w:p>
    <w:p>
      <w:pPr>
        <w:pStyle w:val="0"/>
        <w:spacing w:before="200" w:line-rule="auto"/>
        <w:ind w:firstLine="540"/>
        <w:jc w:val="both"/>
      </w:pPr>
      <w:r>
        <w:rPr>
          <w:sz w:val="20"/>
        </w:rPr>
        <w:t xml:space="preserve">- для ограниченной публичной корреспонденции (CR),</w:t>
      </w:r>
    </w:p>
    <w:p>
      <w:pPr>
        <w:pStyle w:val="0"/>
        <w:spacing w:before="200" w:line-rule="auto"/>
        <w:ind w:firstLine="540"/>
        <w:jc w:val="both"/>
      </w:pPr>
      <w:r>
        <w:rPr>
          <w:sz w:val="20"/>
        </w:rPr>
        <w:t xml:space="preserve">- для корреспонденции частного предприятия (CV),</w:t>
      </w:r>
    </w:p>
    <w:p>
      <w:pPr>
        <w:pStyle w:val="0"/>
        <w:spacing w:before="200" w:line-rule="auto"/>
        <w:ind w:firstLine="540"/>
        <w:jc w:val="both"/>
      </w:pPr>
      <w:r>
        <w:rPr>
          <w:sz w:val="20"/>
        </w:rPr>
        <w:t xml:space="preserve">- только служебный обмен той службы, к которой она относится (OT).</w:t>
      </w:r>
    </w:p>
    <w:p>
      <w:pPr>
        <w:pStyle w:val="0"/>
        <w:spacing w:before="200" w:line-rule="auto"/>
        <w:ind w:firstLine="540"/>
        <w:jc w:val="both"/>
      </w:pPr>
      <w:r>
        <w:rPr>
          <w:sz w:val="20"/>
        </w:rPr>
        <w:t xml:space="preserve">&lt;3&gt;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pPr>
        <w:pStyle w:val="0"/>
        <w:spacing w:before="200" w:line-rule="auto"/>
        <w:ind w:firstLine="540"/>
        <w:jc w:val="both"/>
      </w:pPr>
      <w:r>
        <w:rPr>
          <w:sz w:val="20"/>
        </w:rPr>
        <w:t xml:space="preserve">&lt;4&gt; Заполняется в случае прекращения использования отдельных радиоэлектронных средств в составе судовой радиостанции.</w:t>
      </w:r>
    </w:p>
    <w:p>
      <w:pPr>
        <w:pStyle w:val="0"/>
        <w:spacing w:before="200" w:line-rule="auto"/>
        <w:ind w:firstLine="540"/>
        <w:jc w:val="both"/>
      </w:pPr>
      <w:r>
        <w:rPr>
          <w:sz w:val="20"/>
        </w:rPr>
        <w:t xml:space="preserve">&lt;5&gt;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Федеральной</w:t>
      </w:r>
    </w:p>
    <w:p>
      <w:pPr>
        <w:pStyle w:val="0"/>
        <w:jc w:val="right"/>
      </w:pPr>
      <w:r>
        <w:rPr>
          <w:sz w:val="20"/>
        </w:rPr>
        <w:t xml:space="preserve">службой 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государственной услуги</w:t>
      </w:r>
    </w:p>
    <w:p>
      <w:pPr>
        <w:pStyle w:val="0"/>
        <w:jc w:val="right"/>
      </w:pPr>
      <w:r>
        <w:rPr>
          <w:sz w:val="20"/>
        </w:rPr>
        <w:t xml:space="preserve">по выдаче разрешений</w:t>
      </w:r>
    </w:p>
    <w:p>
      <w:pPr>
        <w:pStyle w:val="0"/>
        <w:jc w:val="right"/>
      </w:pPr>
      <w:r>
        <w:rPr>
          <w:sz w:val="20"/>
        </w:rPr>
        <w:t xml:space="preserve">на судовые радиостанции,</w:t>
      </w:r>
    </w:p>
    <w:p>
      <w:pPr>
        <w:pStyle w:val="0"/>
        <w:jc w:val="right"/>
      </w:pPr>
      <w:r>
        <w:rPr>
          <w:sz w:val="20"/>
        </w:rPr>
        <w:t xml:space="preserve">используемые на морских</w:t>
      </w:r>
    </w:p>
    <w:p>
      <w:pPr>
        <w:pStyle w:val="0"/>
        <w:jc w:val="right"/>
      </w:pPr>
      <w:r>
        <w:rPr>
          <w:sz w:val="20"/>
        </w:rPr>
        <w:t xml:space="preserve">судах, судах внутреннего</w:t>
      </w:r>
    </w:p>
    <w:p>
      <w:pPr>
        <w:pStyle w:val="0"/>
        <w:jc w:val="right"/>
      </w:pPr>
      <w:r>
        <w:rPr>
          <w:sz w:val="20"/>
        </w:rPr>
        <w:t xml:space="preserve">плавания и судах смешанного</w:t>
      </w:r>
    </w:p>
    <w:p>
      <w:pPr>
        <w:pStyle w:val="0"/>
        <w:jc w:val="right"/>
      </w:pPr>
      <w:r>
        <w:rPr>
          <w:sz w:val="20"/>
        </w:rPr>
        <w:t xml:space="preserve">(река-море) плавания,</w:t>
      </w:r>
    </w:p>
    <w:p>
      <w:pPr>
        <w:pStyle w:val="0"/>
        <w:jc w:val="right"/>
      </w:pPr>
      <w:r>
        <w:rPr>
          <w:sz w:val="20"/>
        </w:rPr>
        <w:t xml:space="preserve">утвержденному приказом Роскомнадзора</w:t>
      </w:r>
    </w:p>
    <w:p>
      <w:pPr>
        <w:pStyle w:val="0"/>
        <w:jc w:val="right"/>
      </w:pPr>
      <w:r>
        <w:rPr>
          <w:sz w:val="20"/>
        </w:rPr>
        <w:t xml:space="preserve">от 18.12.2018 N 201</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В Управление Федеральной службы по надзору в сфере связи, информационных технологий и массовых коммуникаций по</w:t>
            </w:r>
          </w:p>
          <w:p>
            <w:pPr>
              <w:pStyle w:val="0"/>
            </w:pPr>
            <w:r>
              <w:rPr>
                <w:sz w:val="20"/>
              </w:rPr>
              <w:t xml:space="preserve">________________________________</w:t>
            </w:r>
          </w:p>
          <w:p>
            <w:pPr>
              <w:pStyle w:val="0"/>
            </w:pPr>
            <w:r>
              <w:rPr>
                <w:sz w:val="20"/>
              </w:rPr>
              <w:t xml:space="preserve">(наименование территориального управления Роскомнадзора)</w:t>
            </w:r>
          </w:p>
        </w:tc>
      </w:tr>
      <w:tr>
        <w:tc>
          <w:tcPr>
            <w:tcW w:w="4535" w:type="dxa"/>
            <w:tcBorders>
              <w:top w:val="nil"/>
              <w:left w:val="nil"/>
              <w:bottom w:val="nil"/>
              <w:right w:val="nil"/>
            </w:tcBorders>
          </w:tcPr>
          <w:p>
            <w:pPr>
              <w:pStyle w:val="0"/>
              <w:jc w:val="both"/>
            </w:pPr>
            <w:r>
              <w:rPr>
                <w:sz w:val="20"/>
              </w:rPr>
              <w:t xml:space="preserve">Исходящий N</w:t>
            </w:r>
          </w:p>
          <w:p>
            <w:pPr>
              <w:pStyle w:val="0"/>
              <w:jc w:val="both"/>
            </w:pPr>
            <w:r>
              <w:rPr>
                <w:sz w:val="20"/>
              </w:rPr>
              <w:t xml:space="preserve">Дата заполнения заявления</w:t>
            </w:r>
          </w:p>
        </w:tc>
        <w:tc>
          <w:tcPr>
            <w:tcW w:w="4535" w:type="dxa"/>
            <w:tcBorders>
              <w:top w:val="nil"/>
              <w:left w:val="nil"/>
              <w:bottom w:val="nil"/>
              <w:right w:val="nil"/>
            </w:tcBorders>
          </w:tcPr>
          <w:p>
            <w:pPr>
              <w:pStyle w:val="0"/>
            </w:pPr>
            <w:r>
              <w:rPr>
                <w:sz w:val="20"/>
              </w:rPr>
            </w:r>
          </w:p>
        </w:tc>
      </w:tr>
    </w:tbl>
    <w:p>
      <w:pPr>
        <w:pStyle w:val="0"/>
        <w:jc w:val="both"/>
      </w:pPr>
      <w:r>
        <w:rPr>
          <w:sz w:val="20"/>
        </w:rPr>
      </w:r>
    </w:p>
    <w:bookmarkStart w:id="926" w:name="P926"/>
    <w:bookmarkEnd w:id="926"/>
    <w:p>
      <w:pPr>
        <w:pStyle w:val="0"/>
        <w:jc w:val="center"/>
      </w:pPr>
      <w:r>
        <w:rPr>
          <w:sz w:val="20"/>
        </w:rPr>
        <w:t xml:space="preserve">Заявление</w:t>
      </w:r>
    </w:p>
    <w:p>
      <w:pPr>
        <w:pStyle w:val="0"/>
        <w:jc w:val="center"/>
      </w:pPr>
      <w:r>
        <w:rPr>
          <w:sz w:val="20"/>
        </w:rPr>
        <w:t xml:space="preserve">о выдаче разрешения на судовые радиостанции</w:t>
      </w:r>
    </w:p>
    <w:p>
      <w:pPr>
        <w:pStyle w:val="0"/>
        <w:jc w:val="center"/>
      </w:pPr>
      <w:r>
        <w:rPr>
          <w:sz w:val="20"/>
        </w:rPr>
        <w:t xml:space="preserve">(Для получения разрешения на судовые радиостанции</w:t>
      </w:r>
    </w:p>
    <w:p>
      <w:pPr>
        <w:pStyle w:val="0"/>
        <w:jc w:val="center"/>
      </w:pPr>
      <w:r>
        <w:rPr>
          <w:sz w:val="20"/>
        </w:rPr>
        <w:t xml:space="preserve">в случае изменения сведений о судовладельце</w:t>
      </w:r>
    </w:p>
    <w:p>
      <w:pPr>
        <w:pStyle w:val="0"/>
        <w:jc w:val="center"/>
      </w:pPr>
      <w:r>
        <w:rPr>
          <w:sz w:val="20"/>
        </w:rPr>
        <w:t xml:space="preserve">(фамилии, имени, отчества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798"/>
        <w:gridCol w:w="2270"/>
        <w:gridCol w:w="2428"/>
      </w:tblGrid>
      <w:tr>
        <w:tc>
          <w:tcPr>
            <w:tcW w:w="566" w:type="dxa"/>
            <w:vAlign w:val="center"/>
          </w:tcPr>
          <w:p>
            <w:pPr>
              <w:pStyle w:val="0"/>
              <w:jc w:val="center"/>
            </w:pPr>
            <w:r>
              <w:rPr>
                <w:sz w:val="20"/>
              </w:rPr>
              <w:t xml:space="preserve">1</w:t>
            </w:r>
          </w:p>
        </w:tc>
        <w:tc>
          <w:tcPr>
            <w:tcW w:w="3798" w:type="dxa"/>
          </w:tcPr>
          <w:p>
            <w:pPr>
              <w:pStyle w:val="0"/>
              <w:jc w:val="both"/>
            </w:pPr>
            <w:r>
              <w:rPr>
                <w:sz w:val="20"/>
              </w:rPr>
              <w:t xml:space="preserve">Фамилия, имя, отчество (при наличии)</w:t>
            </w:r>
          </w:p>
        </w:tc>
        <w:tc>
          <w:tcPr>
            <w:gridSpan w:val="2"/>
            <w:tcW w:w="4698" w:type="dxa"/>
          </w:tcPr>
          <w:p>
            <w:pPr>
              <w:pStyle w:val="0"/>
            </w:pPr>
            <w:r>
              <w:rPr>
                <w:sz w:val="20"/>
              </w:rPr>
            </w:r>
          </w:p>
        </w:tc>
      </w:tr>
      <w:tr>
        <w:tc>
          <w:tcPr>
            <w:tcW w:w="566" w:type="dxa"/>
            <w:vAlign w:val="center"/>
          </w:tcPr>
          <w:p>
            <w:pPr>
              <w:pStyle w:val="0"/>
              <w:jc w:val="center"/>
            </w:pPr>
            <w:r>
              <w:rPr>
                <w:sz w:val="20"/>
              </w:rPr>
              <w:t xml:space="preserve">2</w:t>
            </w:r>
          </w:p>
        </w:tc>
        <w:tc>
          <w:tcPr>
            <w:tcW w:w="3798" w:type="dxa"/>
          </w:tcPr>
          <w:p>
            <w:pPr>
              <w:pStyle w:val="0"/>
              <w:jc w:val="both"/>
            </w:pPr>
            <w:r>
              <w:rPr>
                <w:sz w:val="20"/>
              </w:rPr>
              <w:t xml:space="preserve">Почтовый адрес заявителя</w:t>
            </w:r>
          </w:p>
        </w:tc>
        <w:tc>
          <w:tcPr>
            <w:gridSpan w:val="2"/>
            <w:tcW w:w="4698" w:type="dxa"/>
          </w:tcPr>
          <w:p>
            <w:pPr>
              <w:pStyle w:val="0"/>
            </w:pPr>
            <w:r>
              <w:rPr>
                <w:sz w:val="20"/>
              </w:rPr>
            </w:r>
          </w:p>
        </w:tc>
      </w:tr>
      <w:tr>
        <w:tc>
          <w:tcPr>
            <w:tcW w:w="566" w:type="dxa"/>
            <w:vAlign w:val="center"/>
          </w:tcPr>
          <w:p>
            <w:pPr>
              <w:pStyle w:val="0"/>
              <w:jc w:val="center"/>
            </w:pPr>
            <w:r>
              <w:rPr>
                <w:sz w:val="20"/>
              </w:rPr>
              <w:t xml:space="preserve">3</w:t>
            </w:r>
          </w:p>
        </w:tc>
        <w:tc>
          <w:tcPr>
            <w:tcW w:w="3798" w:type="dxa"/>
          </w:tcPr>
          <w:p>
            <w:pPr>
              <w:pStyle w:val="0"/>
              <w:jc w:val="both"/>
            </w:pPr>
            <w:r>
              <w:rPr>
                <w:sz w:val="20"/>
              </w:rPr>
              <w:t xml:space="preserve">Адрес места жительства</w:t>
            </w:r>
          </w:p>
        </w:tc>
        <w:tc>
          <w:tcPr>
            <w:gridSpan w:val="2"/>
            <w:tcW w:w="4698" w:type="dxa"/>
          </w:tcPr>
          <w:p>
            <w:pPr>
              <w:pStyle w:val="0"/>
            </w:pPr>
            <w:r>
              <w:rPr>
                <w:sz w:val="20"/>
              </w:rPr>
            </w:r>
          </w:p>
        </w:tc>
      </w:tr>
      <w:tr>
        <w:tc>
          <w:tcPr>
            <w:tcW w:w="566" w:type="dxa"/>
            <w:vAlign w:val="center"/>
          </w:tcPr>
          <w:p>
            <w:pPr>
              <w:pStyle w:val="0"/>
              <w:jc w:val="center"/>
            </w:pPr>
            <w:r>
              <w:rPr>
                <w:sz w:val="20"/>
              </w:rPr>
              <w:t xml:space="preserve">4</w:t>
            </w:r>
          </w:p>
        </w:tc>
        <w:tc>
          <w:tcPr>
            <w:tcW w:w="3798" w:type="dxa"/>
          </w:tcPr>
          <w:p>
            <w:pPr>
              <w:pStyle w:val="0"/>
              <w:jc w:val="both"/>
            </w:pPr>
            <w:r>
              <w:rPr>
                <w:sz w:val="20"/>
              </w:rPr>
              <w:t xml:space="preserve">Код города, номер контактного телефона и (или) факса</w:t>
            </w:r>
          </w:p>
        </w:tc>
        <w:tc>
          <w:tcPr>
            <w:gridSpan w:val="2"/>
            <w:tcW w:w="4698" w:type="dxa"/>
          </w:tcPr>
          <w:p>
            <w:pPr>
              <w:pStyle w:val="0"/>
            </w:pPr>
            <w:r>
              <w:rPr>
                <w:sz w:val="20"/>
              </w:rPr>
            </w:r>
          </w:p>
        </w:tc>
      </w:tr>
      <w:tr>
        <w:tc>
          <w:tcPr>
            <w:tcW w:w="566" w:type="dxa"/>
            <w:vAlign w:val="center"/>
          </w:tcPr>
          <w:p>
            <w:pPr>
              <w:pStyle w:val="0"/>
              <w:jc w:val="center"/>
            </w:pPr>
            <w:r>
              <w:rPr>
                <w:sz w:val="20"/>
              </w:rPr>
              <w:t xml:space="preserve">5</w:t>
            </w:r>
          </w:p>
        </w:tc>
        <w:tc>
          <w:tcPr>
            <w:tcW w:w="3798" w:type="dxa"/>
          </w:tcPr>
          <w:p>
            <w:pPr>
              <w:pStyle w:val="0"/>
              <w:jc w:val="both"/>
            </w:pPr>
            <w:r>
              <w:rPr>
                <w:sz w:val="20"/>
              </w:rPr>
              <w:t xml:space="preserve">Идентификационный номер налогоплательщика (ИНН)</w:t>
            </w:r>
          </w:p>
        </w:tc>
        <w:tc>
          <w:tcPr>
            <w:gridSpan w:val="2"/>
            <w:tcW w:w="4698" w:type="dxa"/>
          </w:tcPr>
          <w:p>
            <w:pPr>
              <w:pStyle w:val="0"/>
            </w:pPr>
            <w:r>
              <w:rPr>
                <w:sz w:val="20"/>
              </w:rPr>
            </w:r>
          </w:p>
        </w:tc>
      </w:tr>
      <w:tr>
        <w:tc>
          <w:tcPr>
            <w:tcW w:w="566" w:type="dxa"/>
            <w:vAlign w:val="center"/>
          </w:tcPr>
          <w:p>
            <w:pPr>
              <w:pStyle w:val="0"/>
              <w:jc w:val="center"/>
            </w:pPr>
            <w:r>
              <w:rPr>
                <w:sz w:val="20"/>
              </w:rPr>
              <w:t xml:space="preserve">6</w:t>
            </w:r>
          </w:p>
        </w:tc>
        <w:tc>
          <w:tcPr>
            <w:tcW w:w="3798" w:type="dxa"/>
          </w:tcPr>
          <w:p>
            <w:pPr>
              <w:pStyle w:val="0"/>
              <w:jc w:val="both"/>
            </w:pPr>
            <w:r>
              <w:rPr>
                <w:sz w:val="20"/>
              </w:rPr>
              <w:t xml:space="preserve">Страховой номер индивидуального лицевого счета (СНИЛС)</w:t>
            </w:r>
          </w:p>
        </w:tc>
        <w:tc>
          <w:tcPr>
            <w:gridSpan w:val="2"/>
            <w:tcW w:w="4698" w:type="dxa"/>
          </w:tcPr>
          <w:p>
            <w:pPr>
              <w:pStyle w:val="0"/>
            </w:pPr>
            <w:r>
              <w:rPr>
                <w:sz w:val="20"/>
              </w:rPr>
            </w:r>
          </w:p>
        </w:tc>
      </w:tr>
      <w:tr>
        <w:tc>
          <w:tcPr>
            <w:tcW w:w="566" w:type="dxa"/>
            <w:vAlign w:val="center"/>
          </w:tcPr>
          <w:p>
            <w:pPr>
              <w:pStyle w:val="0"/>
              <w:jc w:val="center"/>
            </w:pPr>
            <w:r>
              <w:rPr>
                <w:sz w:val="20"/>
              </w:rPr>
              <w:t xml:space="preserve">7</w:t>
            </w:r>
          </w:p>
        </w:tc>
        <w:tc>
          <w:tcPr>
            <w:tcW w:w="3798" w:type="dxa"/>
          </w:tcPr>
          <w:p>
            <w:pPr>
              <w:pStyle w:val="0"/>
              <w:jc w:val="both"/>
            </w:pPr>
            <w:r>
              <w:rPr>
                <w:sz w:val="20"/>
              </w:rPr>
              <w:t xml:space="preserve">Название судна</w:t>
            </w:r>
          </w:p>
        </w:tc>
        <w:tc>
          <w:tcPr>
            <w:gridSpan w:val="2"/>
            <w:tcW w:w="4698" w:type="dxa"/>
          </w:tcPr>
          <w:p>
            <w:pPr>
              <w:pStyle w:val="0"/>
            </w:pPr>
            <w:r>
              <w:rPr>
                <w:sz w:val="20"/>
              </w:rPr>
            </w:r>
          </w:p>
        </w:tc>
      </w:tr>
      <w:tr>
        <w:tc>
          <w:tcPr>
            <w:tcW w:w="566" w:type="dxa"/>
            <w:vAlign w:val="center"/>
          </w:tcPr>
          <w:p>
            <w:pPr>
              <w:pStyle w:val="0"/>
              <w:jc w:val="center"/>
            </w:pPr>
            <w:r>
              <w:rPr>
                <w:sz w:val="20"/>
              </w:rPr>
              <w:t xml:space="preserve">8</w:t>
            </w:r>
          </w:p>
        </w:tc>
        <w:tc>
          <w:tcPr>
            <w:tcW w:w="3798" w:type="dxa"/>
          </w:tcPr>
          <w:p>
            <w:pPr>
              <w:pStyle w:val="0"/>
              <w:jc w:val="both"/>
            </w:pPr>
            <w:r>
              <w:rPr>
                <w:sz w:val="20"/>
              </w:rPr>
              <w:t xml:space="preserve">Идентификационный номер судна, присвоенный международной морской организацией/регистрационный номер (для маломерного судна)</w:t>
            </w:r>
          </w:p>
        </w:tc>
        <w:tc>
          <w:tcPr>
            <w:gridSpan w:val="2"/>
            <w:tcW w:w="4698" w:type="dxa"/>
          </w:tcPr>
          <w:p>
            <w:pPr>
              <w:pStyle w:val="0"/>
            </w:pPr>
            <w:r>
              <w:rPr>
                <w:sz w:val="20"/>
              </w:rPr>
            </w:r>
          </w:p>
        </w:tc>
      </w:tr>
      <w:tr>
        <w:tc>
          <w:tcPr>
            <w:tcW w:w="566" w:type="dxa"/>
            <w:vAlign w:val="center"/>
          </w:tcPr>
          <w:p>
            <w:pPr>
              <w:pStyle w:val="0"/>
              <w:jc w:val="center"/>
            </w:pPr>
            <w:r>
              <w:rPr>
                <w:sz w:val="20"/>
              </w:rPr>
              <w:t xml:space="preserve">9</w:t>
            </w:r>
          </w:p>
        </w:tc>
        <w:tc>
          <w:tcPr>
            <w:tcW w:w="3798" w:type="dxa"/>
          </w:tcPr>
          <w:p>
            <w:pPr>
              <w:pStyle w:val="0"/>
            </w:pPr>
            <w:r>
              <w:rPr>
                <w:sz w:val="20"/>
              </w:rPr>
              <w:t xml:space="preserve">Номер и дата действующего разрешения на судовые радиостанции (в случае наличия)</w:t>
            </w:r>
          </w:p>
        </w:tc>
        <w:tc>
          <w:tcPr>
            <w:gridSpan w:val="2"/>
            <w:tcW w:w="4698" w:type="dxa"/>
          </w:tcPr>
          <w:p>
            <w:pPr>
              <w:pStyle w:val="0"/>
            </w:pPr>
            <w:r>
              <w:rPr>
                <w:sz w:val="20"/>
              </w:rPr>
            </w:r>
          </w:p>
        </w:tc>
      </w:tr>
      <w:tr>
        <w:tc>
          <w:tcPr>
            <w:tcW w:w="566" w:type="dxa"/>
            <w:vAlign w:val="center"/>
            <w:vMerge w:val="restart"/>
          </w:tcPr>
          <w:p>
            <w:pPr>
              <w:pStyle w:val="0"/>
              <w:jc w:val="center"/>
            </w:pPr>
            <w:r>
              <w:rPr>
                <w:sz w:val="20"/>
              </w:rPr>
              <w:t xml:space="preserve">10 &lt;1&gt;</w:t>
            </w:r>
          </w:p>
        </w:tc>
        <w:tc>
          <w:tcPr>
            <w:tcW w:w="3798" w:type="dxa"/>
            <w:vMerge w:val="restart"/>
          </w:tcPr>
          <w:p>
            <w:pPr>
              <w:pStyle w:val="0"/>
              <w:jc w:val="both"/>
            </w:pPr>
            <w:r>
              <w:rPr>
                <w:sz w:val="20"/>
              </w:rPr>
              <w:t xml:space="preserve">Радиоэлектронные средства, исключаемые из состава судовой радиостанции</w:t>
            </w:r>
          </w:p>
        </w:tc>
        <w:tc>
          <w:tcPr>
            <w:tcW w:w="2270" w:type="dxa"/>
          </w:tcPr>
          <w:p>
            <w:pPr>
              <w:pStyle w:val="0"/>
              <w:jc w:val="center"/>
            </w:pPr>
            <w:r>
              <w:rPr>
                <w:sz w:val="20"/>
              </w:rPr>
              <w:t xml:space="preserve">Тип радиоэлектронных средств</w:t>
            </w:r>
          </w:p>
        </w:tc>
        <w:tc>
          <w:tcPr>
            <w:tcW w:w="2428" w:type="dxa"/>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tcW w:w="2270" w:type="dxa"/>
          </w:tcPr>
          <w:p>
            <w:pPr>
              <w:pStyle w:val="0"/>
            </w:pPr>
            <w:r>
              <w:rPr>
                <w:sz w:val="20"/>
              </w:rPr>
            </w:r>
          </w:p>
        </w:tc>
        <w:tc>
          <w:tcPr>
            <w:tcW w:w="2428" w:type="dxa"/>
          </w:tcPr>
          <w:p>
            <w:pPr>
              <w:pStyle w:val="0"/>
            </w:pPr>
            <w:r>
              <w:rPr>
                <w:sz w:val="20"/>
              </w:rPr>
            </w:r>
          </w:p>
        </w:tc>
      </w:tr>
      <w:tr>
        <w:tc>
          <w:tcPr>
            <w:vMerge w:val="continue"/>
          </w:tcPr>
          <w:p/>
        </w:tc>
        <w:tc>
          <w:tcPr>
            <w:vMerge w:val="continue"/>
          </w:tcPr>
          <w:p/>
        </w:tc>
        <w:tc>
          <w:tcPr>
            <w:tcW w:w="2270" w:type="dxa"/>
          </w:tcPr>
          <w:p>
            <w:pPr>
              <w:pStyle w:val="0"/>
            </w:pPr>
            <w:r>
              <w:rPr>
                <w:sz w:val="20"/>
              </w:rPr>
            </w:r>
          </w:p>
        </w:tc>
        <w:tc>
          <w:tcPr>
            <w:tcW w:w="2428" w:type="dxa"/>
          </w:tcPr>
          <w:p>
            <w:pPr>
              <w:pStyle w:val="0"/>
            </w:pPr>
            <w:r>
              <w:rPr>
                <w:sz w:val="20"/>
              </w:rPr>
            </w:r>
          </w:p>
        </w:tc>
      </w:tr>
    </w:tbl>
    <w:p>
      <w:pPr>
        <w:pStyle w:val="0"/>
        <w:jc w:val="both"/>
      </w:pPr>
      <w:r>
        <w:rPr>
          <w:sz w:val="20"/>
        </w:rPr>
      </w:r>
    </w:p>
    <w:p>
      <w:pPr>
        <w:pStyle w:val="1"/>
        <w:jc w:val="both"/>
      </w:pPr>
      <w:r>
        <w:rPr>
          <w:sz w:val="20"/>
        </w:rPr>
        <w:t xml:space="preserve">    Прошу  выдать  разрешение  на  судовые  радиостанции,  используемые  на</w:t>
      </w:r>
    </w:p>
    <w:p>
      <w:pPr>
        <w:pStyle w:val="1"/>
        <w:jc w:val="both"/>
      </w:pPr>
      <w:r>
        <w:rPr>
          <w:sz w:val="20"/>
        </w:rPr>
        <w:t xml:space="preserve">___________________________________________________________________________</w:t>
      </w:r>
    </w:p>
    <w:p>
      <w:pPr>
        <w:pStyle w:val="1"/>
        <w:jc w:val="both"/>
      </w:pPr>
      <w:r>
        <w:rPr>
          <w:sz w:val="20"/>
        </w:rPr>
        <w:t xml:space="preserve">       (морском судне, судне внутреннего плавания, судне смешанного</w:t>
      </w:r>
    </w:p>
    <w:p>
      <w:pPr>
        <w:pStyle w:val="1"/>
        <w:jc w:val="both"/>
      </w:pPr>
      <w:r>
        <w:rPr>
          <w:sz w:val="20"/>
        </w:rPr>
        <w:t xml:space="preserve">                           (река-море) плавания)</w:t>
      </w:r>
    </w:p>
    <w:p>
      <w:pPr>
        <w:pStyle w:val="1"/>
        <w:jc w:val="both"/>
      </w:pPr>
      <w:r>
        <w:rPr>
          <w:sz w:val="20"/>
        </w:rPr>
      </w:r>
    </w:p>
    <w:p>
      <w:pPr>
        <w:pStyle w:val="1"/>
        <w:jc w:val="both"/>
      </w:pPr>
      <w:r>
        <w:rPr>
          <w:sz w:val="20"/>
        </w:rPr>
        <w:t xml:space="preserve">в связи с изменением сведений о судовладельце</w:t>
      </w:r>
    </w:p>
    <w:p>
      <w:pPr>
        <w:pStyle w:val="1"/>
        <w:jc w:val="both"/>
      </w:pPr>
      <w:r>
        <w:rPr>
          <w:sz w:val="20"/>
        </w:rPr>
        <w:t xml:space="preserve">---------------------------------------------</w:t>
      </w:r>
    </w:p>
    <w:p>
      <w:pPr>
        <w:pStyle w:val="1"/>
        <w:jc w:val="both"/>
      </w:pPr>
      <w:r>
        <w:rPr>
          <w:sz w:val="20"/>
        </w:rPr>
        <w:t xml:space="preserve">Приложение:     1. копия  документа, подтверждающего  изменение  сведений о</w:t>
      </w:r>
    </w:p>
    <w:p>
      <w:pPr>
        <w:pStyle w:val="1"/>
        <w:jc w:val="both"/>
      </w:pPr>
      <w:r>
        <w:rPr>
          <w:sz w:val="20"/>
        </w:rPr>
        <w:t xml:space="preserve">                физическом лице.</w:t>
      </w:r>
    </w:p>
    <w:p>
      <w:pPr>
        <w:pStyle w:val="1"/>
        <w:jc w:val="both"/>
      </w:pPr>
      <w:r>
        <w:rPr>
          <w:sz w:val="20"/>
        </w:rPr>
        <w:t xml:space="preserve">                2. копия доверенности на представление интересов заявителя.</w:t>
      </w:r>
    </w:p>
    <w:p>
      <w:pPr>
        <w:pStyle w:val="1"/>
        <w:jc w:val="both"/>
      </w:pPr>
      <w:r>
        <w:rPr>
          <w:sz w:val="20"/>
        </w:rPr>
        <w:t xml:space="preserve">                                __________________ ________________________</w:t>
      </w:r>
    </w:p>
    <w:p>
      <w:pPr>
        <w:pStyle w:val="1"/>
        <w:jc w:val="both"/>
      </w:pPr>
      <w:r>
        <w:rPr>
          <w:sz w:val="20"/>
        </w:rPr>
        <w:t xml:space="preserve">                                    (подпись)       (инициалы, фамилия)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в случае прекращения использования отдельных радиоэлектронных средств в составе судовой радиостанции.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Федеральной</w:t>
      </w:r>
    </w:p>
    <w:p>
      <w:pPr>
        <w:pStyle w:val="0"/>
        <w:jc w:val="right"/>
      </w:pPr>
      <w:r>
        <w:rPr>
          <w:sz w:val="20"/>
        </w:rPr>
        <w:t xml:space="preserve">службой 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государственной услуги</w:t>
      </w:r>
    </w:p>
    <w:p>
      <w:pPr>
        <w:pStyle w:val="0"/>
        <w:jc w:val="right"/>
      </w:pPr>
      <w:r>
        <w:rPr>
          <w:sz w:val="20"/>
        </w:rPr>
        <w:t xml:space="preserve">по выдаче разрешений</w:t>
      </w:r>
    </w:p>
    <w:p>
      <w:pPr>
        <w:pStyle w:val="0"/>
        <w:jc w:val="right"/>
      </w:pPr>
      <w:r>
        <w:rPr>
          <w:sz w:val="20"/>
        </w:rPr>
        <w:t xml:space="preserve">на судовые радиостанции,</w:t>
      </w:r>
    </w:p>
    <w:p>
      <w:pPr>
        <w:pStyle w:val="0"/>
        <w:jc w:val="right"/>
      </w:pPr>
      <w:r>
        <w:rPr>
          <w:sz w:val="20"/>
        </w:rPr>
        <w:t xml:space="preserve">используемые на морских</w:t>
      </w:r>
    </w:p>
    <w:p>
      <w:pPr>
        <w:pStyle w:val="0"/>
        <w:jc w:val="right"/>
      </w:pPr>
      <w:r>
        <w:rPr>
          <w:sz w:val="20"/>
        </w:rPr>
        <w:t xml:space="preserve">судах, судах внутреннего</w:t>
      </w:r>
    </w:p>
    <w:p>
      <w:pPr>
        <w:pStyle w:val="0"/>
        <w:jc w:val="right"/>
      </w:pPr>
      <w:r>
        <w:rPr>
          <w:sz w:val="20"/>
        </w:rPr>
        <w:t xml:space="preserve">плавания и судах смешанного</w:t>
      </w:r>
    </w:p>
    <w:p>
      <w:pPr>
        <w:pStyle w:val="0"/>
        <w:jc w:val="right"/>
      </w:pPr>
      <w:r>
        <w:rPr>
          <w:sz w:val="20"/>
        </w:rPr>
        <w:t xml:space="preserve">(река-море) плавания,</w:t>
      </w:r>
    </w:p>
    <w:p>
      <w:pPr>
        <w:pStyle w:val="0"/>
        <w:jc w:val="right"/>
      </w:pPr>
      <w:r>
        <w:rPr>
          <w:sz w:val="20"/>
        </w:rPr>
        <w:t xml:space="preserve">утвержденному приказом Роскомнадзора</w:t>
      </w:r>
    </w:p>
    <w:p>
      <w:pPr>
        <w:pStyle w:val="0"/>
        <w:jc w:val="right"/>
      </w:pPr>
      <w:r>
        <w:rPr>
          <w:sz w:val="20"/>
        </w:rPr>
        <w:t xml:space="preserve">от 18.12.2018 N 201</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В Управление Федеральной службы по надзору в сфере связи, информационных технологий и массовых коммуникаций по</w:t>
            </w:r>
          </w:p>
          <w:p>
            <w:pPr>
              <w:pStyle w:val="0"/>
            </w:pPr>
            <w:r>
              <w:rPr>
                <w:sz w:val="20"/>
              </w:rPr>
              <w:t xml:space="preserve">________________________________</w:t>
            </w:r>
          </w:p>
          <w:p>
            <w:pPr>
              <w:pStyle w:val="0"/>
            </w:pPr>
            <w:r>
              <w:rPr>
                <w:sz w:val="20"/>
              </w:rPr>
              <w:t xml:space="preserve">(наименование территориального управления Роскомнадзора)</w:t>
            </w:r>
          </w:p>
        </w:tc>
      </w:tr>
      <w:tr>
        <w:tc>
          <w:tcPr>
            <w:tcW w:w="4535" w:type="dxa"/>
            <w:tcBorders>
              <w:top w:val="nil"/>
              <w:left w:val="nil"/>
              <w:bottom w:val="nil"/>
              <w:right w:val="nil"/>
            </w:tcBorders>
          </w:tcPr>
          <w:p>
            <w:pPr>
              <w:pStyle w:val="0"/>
              <w:jc w:val="both"/>
            </w:pPr>
            <w:r>
              <w:rPr>
                <w:sz w:val="20"/>
              </w:rPr>
              <w:t xml:space="preserve">Исходящий N</w:t>
            </w:r>
          </w:p>
          <w:p>
            <w:pPr>
              <w:pStyle w:val="0"/>
              <w:jc w:val="both"/>
            </w:pPr>
            <w:r>
              <w:rPr>
                <w:sz w:val="20"/>
              </w:rPr>
              <w:t xml:space="preserve">Дата заполнения заявления</w:t>
            </w:r>
          </w:p>
        </w:tc>
        <w:tc>
          <w:tcPr>
            <w:tcW w:w="4535" w:type="dxa"/>
            <w:tcBorders>
              <w:top w:val="nil"/>
              <w:left w:val="nil"/>
              <w:bottom w:val="nil"/>
              <w:right w:val="nil"/>
            </w:tcBorders>
          </w:tcPr>
          <w:p>
            <w:pPr>
              <w:pStyle w:val="0"/>
            </w:pPr>
            <w:r>
              <w:rPr>
                <w:sz w:val="20"/>
              </w:rPr>
            </w:r>
          </w:p>
        </w:tc>
      </w:tr>
    </w:tbl>
    <w:p>
      <w:pPr>
        <w:pStyle w:val="0"/>
        <w:jc w:val="both"/>
      </w:pPr>
      <w:r>
        <w:rPr>
          <w:sz w:val="20"/>
        </w:rPr>
      </w:r>
    </w:p>
    <w:bookmarkStart w:id="1014" w:name="P1014"/>
    <w:bookmarkEnd w:id="1014"/>
    <w:p>
      <w:pPr>
        <w:pStyle w:val="0"/>
        <w:jc w:val="center"/>
      </w:pPr>
      <w:r>
        <w:rPr>
          <w:sz w:val="20"/>
        </w:rPr>
        <w:t xml:space="preserve">Заявление</w:t>
      </w:r>
    </w:p>
    <w:p>
      <w:pPr>
        <w:pStyle w:val="0"/>
        <w:jc w:val="center"/>
      </w:pPr>
      <w:r>
        <w:rPr>
          <w:sz w:val="20"/>
        </w:rPr>
        <w:t xml:space="preserve">о выдаче разрешения на судовые радиостанции</w:t>
      </w:r>
    </w:p>
    <w:p>
      <w:pPr>
        <w:pStyle w:val="0"/>
        <w:jc w:val="center"/>
      </w:pPr>
      <w:r>
        <w:rPr>
          <w:sz w:val="20"/>
        </w:rPr>
        <w:t xml:space="preserve">(Для получения разрешения на судовые радиостанции в случае</w:t>
      </w:r>
    </w:p>
    <w:p>
      <w:pPr>
        <w:pStyle w:val="0"/>
        <w:jc w:val="center"/>
      </w:pPr>
      <w:r>
        <w:rPr>
          <w:sz w:val="20"/>
        </w:rPr>
        <w:t xml:space="preserve">изменения сведений о судовладельце (для российских</w:t>
      </w:r>
    </w:p>
    <w:p>
      <w:pPr>
        <w:pStyle w:val="0"/>
        <w:jc w:val="center"/>
      </w:pPr>
      <w:r>
        <w:rPr>
          <w:sz w:val="20"/>
        </w:rPr>
        <w:t xml:space="preserve">юридических лиц - организационно-правовой формы, полного</w:t>
      </w:r>
    </w:p>
    <w:p>
      <w:pPr>
        <w:pStyle w:val="0"/>
        <w:jc w:val="center"/>
      </w:pPr>
      <w:r>
        <w:rPr>
          <w:sz w:val="20"/>
        </w:rPr>
        <w:t xml:space="preserve">наименования судовладельца; для индивидуальных</w:t>
      </w:r>
    </w:p>
    <w:p>
      <w:pPr>
        <w:pStyle w:val="0"/>
        <w:jc w:val="center"/>
      </w:pPr>
      <w:r>
        <w:rPr>
          <w:sz w:val="20"/>
        </w:rPr>
        <w:t xml:space="preserve">предпринимателей, фамилии, имени, отчества (при наличии),</w:t>
      </w:r>
    </w:p>
    <w:p>
      <w:pPr>
        <w:pStyle w:val="0"/>
        <w:jc w:val="center"/>
      </w:pPr>
      <w:r>
        <w:rPr>
          <w:sz w:val="20"/>
        </w:rPr>
        <w:t xml:space="preserve">при смене судовладельца в результате реорганизации</w:t>
      </w:r>
    </w:p>
    <w:p>
      <w:pPr>
        <w:pStyle w:val="0"/>
        <w:jc w:val="center"/>
      </w:pPr>
      <w:r>
        <w:rPr>
          <w:sz w:val="20"/>
        </w:rPr>
        <w:t xml:space="preserve">юридического лица заявитель, являющийся российским</w:t>
      </w:r>
    </w:p>
    <w:p>
      <w:pPr>
        <w:pStyle w:val="0"/>
        <w:jc w:val="center"/>
      </w:pPr>
      <w:r>
        <w:rPr>
          <w:sz w:val="20"/>
        </w:rPr>
        <w:t xml:space="preserve">юридическим лицом или индивидуальным предпринимателем)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798"/>
        <w:gridCol w:w="2261"/>
        <w:gridCol w:w="2437"/>
      </w:tblGrid>
      <w:tr>
        <w:tc>
          <w:tcPr>
            <w:tcW w:w="566" w:type="dxa"/>
            <w:vAlign w:val="center"/>
          </w:tcPr>
          <w:p>
            <w:pPr>
              <w:pStyle w:val="0"/>
              <w:jc w:val="center"/>
            </w:pPr>
            <w:r>
              <w:rPr>
                <w:sz w:val="20"/>
              </w:rPr>
              <w:t xml:space="preserve">1</w:t>
            </w:r>
          </w:p>
        </w:tc>
        <w:tc>
          <w:tcPr>
            <w:tcW w:w="3798" w:type="dxa"/>
          </w:tcPr>
          <w:p>
            <w:pPr>
              <w:pStyle w:val="0"/>
              <w:jc w:val="both"/>
            </w:pPr>
            <w:r>
              <w:rPr>
                <w:sz w:val="20"/>
              </w:rPr>
              <w:t xml:space="preserve">Организационно-правовая форма и полное наименование юридического лица или индивидуального предпринимателя</w:t>
            </w:r>
          </w:p>
        </w:tc>
        <w:tc>
          <w:tcPr>
            <w:gridSpan w:val="2"/>
            <w:tcW w:w="4698" w:type="dxa"/>
          </w:tcPr>
          <w:p>
            <w:pPr>
              <w:pStyle w:val="0"/>
            </w:pPr>
            <w:r>
              <w:rPr>
                <w:sz w:val="20"/>
              </w:rPr>
            </w:r>
          </w:p>
        </w:tc>
      </w:tr>
      <w:tr>
        <w:tc>
          <w:tcPr>
            <w:tcW w:w="566" w:type="dxa"/>
            <w:vAlign w:val="center"/>
          </w:tcPr>
          <w:p>
            <w:pPr>
              <w:pStyle w:val="0"/>
              <w:jc w:val="center"/>
            </w:pPr>
            <w:r>
              <w:rPr>
                <w:sz w:val="20"/>
              </w:rPr>
              <w:t xml:space="preserve">2</w:t>
            </w:r>
          </w:p>
        </w:tc>
        <w:tc>
          <w:tcPr>
            <w:tcW w:w="3798" w:type="dxa"/>
          </w:tcPr>
          <w:p>
            <w:pPr>
              <w:pStyle w:val="0"/>
              <w:jc w:val="both"/>
            </w:pPr>
            <w:r>
              <w:rPr>
                <w:sz w:val="20"/>
              </w:rPr>
              <w:t xml:space="preserve">Почтовый адрес заявителя</w:t>
            </w:r>
          </w:p>
        </w:tc>
        <w:tc>
          <w:tcPr>
            <w:gridSpan w:val="2"/>
            <w:tcW w:w="4698" w:type="dxa"/>
          </w:tcPr>
          <w:p>
            <w:pPr>
              <w:pStyle w:val="0"/>
            </w:pPr>
            <w:r>
              <w:rPr>
                <w:sz w:val="20"/>
              </w:rPr>
            </w:r>
          </w:p>
        </w:tc>
      </w:tr>
      <w:tr>
        <w:tc>
          <w:tcPr>
            <w:tcW w:w="566" w:type="dxa"/>
            <w:vAlign w:val="center"/>
          </w:tcPr>
          <w:p>
            <w:pPr>
              <w:pStyle w:val="0"/>
              <w:jc w:val="center"/>
            </w:pPr>
            <w:r>
              <w:rPr>
                <w:sz w:val="20"/>
              </w:rPr>
              <w:t xml:space="preserve">3</w:t>
            </w:r>
          </w:p>
        </w:tc>
        <w:tc>
          <w:tcPr>
            <w:tcW w:w="3798" w:type="dxa"/>
          </w:tcPr>
          <w:p>
            <w:pPr>
              <w:pStyle w:val="0"/>
              <w:jc w:val="both"/>
            </w:pPr>
            <w:r>
              <w:rPr>
                <w:sz w:val="20"/>
              </w:rPr>
              <w:t xml:space="preserve">Адрес местонахождения (в соответствии с учредительными документами)</w:t>
            </w:r>
          </w:p>
        </w:tc>
        <w:tc>
          <w:tcPr>
            <w:gridSpan w:val="2"/>
            <w:tcW w:w="4698" w:type="dxa"/>
          </w:tcPr>
          <w:p>
            <w:pPr>
              <w:pStyle w:val="0"/>
            </w:pPr>
            <w:r>
              <w:rPr>
                <w:sz w:val="20"/>
              </w:rPr>
            </w:r>
          </w:p>
        </w:tc>
      </w:tr>
      <w:tr>
        <w:tc>
          <w:tcPr>
            <w:tcW w:w="566" w:type="dxa"/>
            <w:vAlign w:val="center"/>
          </w:tcPr>
          <w:p>
            <w:pPr>
              <w:pStyle w:val="0"/>
              <w:jc w:val="center"/>
            </w:pPr>
            <w:r>
              <w:rPr>
                <w:sz w:val="20"/>
              </w:rPr>
              <w:t xml:space="preserve">4</w:t>
            </w:r>
          </w:p>
        </w:tc>
        <w:tc>
          <w:tcPr>
            <w:tcW w:w="3798" w:type="dxa"/>
          </w:tcPr>
          <w:p>
            <w:pPr>
              <w:pStyle w:val="0"/>
              <w:jc w:val="both"/>
            </w:pPr>
            <w:r>
              <w:rPr>
                <w:sz w:val="20"/>
              </w:rPr>
              <w:t xml:space="preserve">Код города, номер контактного телефона и (или) факса</w:t>
            </w:r>
          </w:p>
        </w:tc>
        <w:tc>
          <w:tcPr>
            <w:gridSpan w:val="2"/>
            <w:tcW w:w="4698" w:type="dxa"/>
          </w:tcPr>
          <w:p>
            <w:pPr>
              <w:pStyle w:val="0"/>
            </w:pPr>
            <w:r>
              <w:rPr>
                <w:sz w:val="20"/>
              </w:rPr>
            </w:r>
          </w:p>
        </w:tc>
      </w:tr>
      <w:tr>
        <w:tc>
          <w:tcPr>
            <w:tcW w:w="566" w:type="dxa"/>
            <w:vAlign w:val="center"/>
          </w:tcPr>
          <w:p>
            <w:pPr>
              <w:pStyle w:val="0"/>
              <w:jc w:val="center"/>
            </w:pPr>
            <w:r>
              <w:rPr>
                <w:sz w:val="20"/>
              </w:rPr>
              <w:t xml:space="preserve">5</w:t>
            </w:r>
          </w:p>
        </w:tc>
        <w:tc>
          <w:tcPr>
            <w:tcW w:w="3798" w:type="dxa"/>
          </w:tcPr>
          <w:p>
            <w:pPr>
              <w:pStyle w:val="0"/>
              <w:jc w:val="both"/>
            </w:pPr>
            <w:r>
              <w:rPr>
                <w:sz w:val="20"/>
              </w:rPr>
              <w:t xml:space="preserve">Основной государственный регистрационный номер (ОГРН) (для юридического лица)</w:t>
            </w:r>
          </w:p>
        </w:tc>
        <w:tc>
          <w:tcPr>
            <w:gridSpan w:val="2"/>
            <w:tcW w:w="4698" w:type="dxa"/>
          </w:tcPr>
          <w:p>
            <w:pPr>
              <w:pStyle w:val="0"/>
            </w:pPr>
            <w:r>
              <w:rPr>
                <w:sz w:val="20"/>
              </w:rPr>
            </w:r>
          </w:p>
        </w:tc>
      </w:tr>
      <w:tr>
        <w:tc>
          <w:tcPr>
            <w:tcW w:w="566" w:type="dxa"/>
            <w:vAlign w:val="center"/>
          </w:tcPr>
          <w:p>
            <w:pPr>
              <w:pStyle w:val="0"/>
              <w:jc w:val="center"/>
            </w:pPr>
            <w:r>
              <w:rPr>
                <w:sz w:val="20"/>
              </w:rPr>
              <w:t xml:space="preserve">6</w:t>
            </w:r>
          </w:p>
        </w:tc>
        <w:tc>
          <w:tcPr>
            <w:tcW w:w="3798" w:type="dxa"/>
          </w:tcPr>
          <w:p>
            <w:pPr>
              <w:pStyle w:val="0"/>
              <w:jc w:val="both"/>
            </w:pPr>
            <w:r>
              <w:rPr>
                <w:sz w:val="20"/>
              </w:rPr>
              <w:t xml:space="preserve">Идентификационный номер налогоплательщика (ИНН)</w:t>
            </w:r>
          </w:p>
        </w:tc>
        <w:tc>
          <w:tcPr>
            <w:gridSpan w:val="2"/>
            <w:tcW w:w="4698" w:type="dxa"/>
          </w:tcPr>
          <w:p>
            <w:pPr>
              <w:pStyle w:val="0"/>
            </w:pPr>
            <w:r>
              <w:rPr>
                <w:sz w:val="20"/>
              </w:rPr>
            </w:r>
          </w:p>
        </w:tc>
      </w:tr>
      <w:tr>
        <w:tc>
          <w:tcPr>
            <w:tcW w:w="566" w:type="dxa"/>
            <w:vAlign w:val="center"/>
          </w:tcPr>
          <w:p>
            <w:pPr>
              <w:pStyle w:val="0"/>
              <w:jc w:val="center"/>
            </w:pPr>
            <w:r>
              <w:rPr>
                <w:sz w:val="20"/>
              </w:rPr>
              <w:t xml:space="preserve">7</w:t>
            </w:r>
          </w:p>
        </w:tc>
        <w:tc>
          <w:tcPr>
            <w:tcW w:w="3798" w:type="dxa"/>
          </w:tcPr>
          <w:p>
            <w:pPr>
              <w:pStyle w:val="0"/>
              <w:jc w:val="both"/>
            </w:pPr>
            <w:r>
              <w:rPr>
                <w:sz w:val="20"/>
              </w:rPr>
              <w:t xml:space="preserve">Страховой номер индивидуального лицевого счета (СНИЛС) (для индивидуального предпринимателя)</w:t>
            </w:r>
          </w:p>
        </w:tc>
        <w:tc>
          <w:tcPr>
            <w:gridSpan w:val="2"/>
            <w:tcW w:w="4698" w:type="dxa"/>
          </w:tcPr>
          <w:p>
            <w:pPr>
              <w:pStyle w:val="0"/>
            </w:pPr>
            <w:r>
              <w:rPr>
                <w:sz w:val="20"/>
              </w:rPr>
            </w:r>
          </w:p>
        </w:tc>
      </w:tr>
      <w:tr>
        <w:tc>
          <w:tcPr>
            <w:tcW w:w="566" w:type="dxa"/>
            <w:vAlign w:val="center"/>
          </w:tcPr>
          <w:p>
            <w:pPr>
              <w:pStyle w:val="0"/>
              <w:jc w:val="center"/>
            </w:pPr>
            <w:r>
              <w:rPr>
                <w:sz w:val="20"/>
              </w:rPr>
              <w:t xml:space="preserve">8</w:t>
            </w:r>
          </w:p>
        </w:tc>
        <w:tc>
          <w:tcPr>
            <w:tcW w:w="3798" w:type="dxa"/>
          </w:tcPr>
          <w:p>
            <w:pPr>
              <w:pStyle w:val="0"/>
              <w:jc w:val="both"/>
            </w:pPr>
            <w:r>
              <w:rPr>
                <w:sz w:val="20"/>
              </w:rPr>
              <w:t xml:space="preserve">Код причины постановки на учет (КПП) (для юридического лица)</w:t>
            </w:r>
          </w:p>
        </w:tc>
        <w:tc>
          <w:tcPr>
            <w:gridSpan w:val="2"/>
            <w:tcW w:w="4698" w:type="dxa"/>
          </w:tcPr>
          <w:p>
            <w:pPr>
              <w:pStyle w:val="0"/>
            </w:pPr>
            <w:r>
              <w:rPr>
                <w:sz w:val="20"/>
              </w:rPr>
            </w:r>
          </w:p>
        </w:tc>
      </w:tr>
      <w:tr>
        <w:tc>
          <w:tcPr>
            <w:tcW w:w="566" w:type="dxa"/>
            <w:vAlign w:val="center"/>
          </w:tcPr>
          <w:p>
            <w:pPr>
              <w:pStyle w:val="0"/>
              <w:jc w:val="center"/>
            </w:pPr>
            <w:r>
              <w:rPr>
                <w:sz w:val="20"/>
              </w:rPr>
              <w:t xml:space="preserve">9</w:t>
            </w:r>
          </w:p>
        </w:tc>
        <w:tc>
          <w:tcPr>
            <w:tcW w:w="3798" w:type="dxa"/>
          </w:tcPr>
          <w:p>
            <w:pPr>
              <w:pStyle w:val="0"/>
              <w:jc w:val="both"/>
            </w:pPr>
            <w:r>
              <w:rPr>
                <w:sz w:val="20"/>
              </w:rPr>
              <w:t xml:space="preserve">Название судна</w:t>
            </w:r>
          </w:p>
        </w:tc>
        <w:tc>
          <w:tcPr>
            <w:gridSpan w:val="2"/>
            <w:tcW w:w="4698" w:type="dxa"/>
          </w:tcPr>
          <w:p>
            <w:pPr>
              <w:pStyle w:val="0"/>
            </w:pPr>
            <w:r>
              <w:rPr>
                <w:sz w:val="20"/>
              </w:rPr>
            </w:r>
          </w:p>
        </w:tc>
      </w:tr>
      <w:tr>
        <w:tc>
          <w:tcPr>
            <w:tcW w:w="566" w:type="dxa"/>
            <w:vAlign w:val="center"/>
          </w:tcPr>
          <w:p>
            <w:pPr>
              <w:pStyle w:val="0"/>
              <w:jc w:val="center"/>
            </w:pPr>
            <w:r>
              <w:rPr>
                <w:sz w:val="20"/>
              </w:rPr>
              <w:t xml:space="preserve">10</w:t>
            </w:r>
          </w:p>
        </w:tc>
        <w:tc>
          <w:tcPr>
            <w:tcW w:w="3798" w:type="dxa"/>
          </w:tcPr>
          <w:p>
            <w:pPr>
              <w:pStyle w:val="0"/>
              <w:jc w:val="both"/>
            </w:pPr>
            <w:r>
              <w:rPr>
                <w:sz w:val="20"/>
              </w:rPr>
              <w:t xml:space="preserve">Идентификационный номер судна, присвоенный международной морской организацией/регистрационный номер (для маломерного судна)</w:t>
            </w:r>
          </w:p>
        </w:tc>
        <w:tc>
          <w:tcPr>
            <w:gridSpan w:val="2"/>
            <w:tcW w:w="4698" w:type="dxa"/>
          </w:tcPr>
          <w:p>
            <w:pPr>
              <w:pStyle w:val="0"/>
            </w:pPr>
            <w:r>
              <w:rPr>
                <w:sz w:val="20"/>
              </w:rPr>
            </w:r>
          </w:p>
        </w:tc>
      </w:tr>
      <w:tr>
        <w:tc>
          <w:tcPr>
            <w:tcW w:w="566" w:type="dxa"/>
            <w:vAlign w:val="center"/>
          </w:tcPr>
          <w:p>
            <w:pPr>
              <w:pStyle w:val="0"/>
              <w:jc w:val="center"/>
            </w:pPr>
            <w:r>
              <w:rPr>
                <w:sz w:val="20"/>
              </w:rPr>
              <w:t xml:space="preserve">11</w:t>
            </w:r>
          </w:p>
        </w:tc>
        <w:tc>
          <w:tcPr>
            <w:tcW w:w="3798" w:type="dxa"/>
          </w:tcPr>
          <w:p>
            <w:pPr>
              <w:pStyle w:val="0"/>
            </w:pPr>
            <w:r>
              <w:rPr>
                <w:sz w:val="20"/>
              </w:rPr>
              <w:t xml:space="preserve">Номер и дата действующего разрешения на судовые радиостанции (в случае наличия)</w:t>
            </w:r>
          </w:p>
        </w:tc>
        <w:tc>
          <w:tcPr>
            <w:gridSpan w:val="2"/>
            <w:tcW w:w="4698" w:type="dxa"/>
          </w:tcPr>
          <w:p>
            <w:pPr>
              <w:pStyle w:val="0"/>
            </w:pPr>
            <w:r>
              <w:rPr>
                <w:sz w:val="20"/>
              </w:rPr>
            </w:r>
          </w:p>
        </w:tc>
      </w:tr>
      <w:tr>
        <w:tc>
          <w:tcPr>
            <w:tcW w:w="566" w:type="dxa"/>
            <w:vAlign w:val="center"/>
            <w:vMerge w:val="restart"/>
          </w:tcPr>
          <w:p>
            <w:pPr>
              <w:pStyle w:val="0"/>
              <w:jc w:val="center"/>
            </w:pPr>
            <w:r>
              <w:rPr>
                <w:sz w:val="20"/>
              </w:rPr>
              <w:t xml:space="preserve">12 &lt;1&gt;</w:t>
            </w:r>
          </w:p>
        </w:tc>
        <w:tc>
          <w:tcPr>
            <w:tcW w:w="3798" w:type="dxa"/>
            <w:vMerge w:val="restart"/>
          </w:tcPr>
          <w:p>
            <w:pPr>
              <w:pStyle w:val="0"/>
              <w:jc w:val="both"/>
            </w:pPr>
            <w:r>
              <w:rPr>
                <w:sz w:val="20"/>
              </w:rPr>
              <w:t xml:space="preserve">Радиоэлектронные средства, исключаемые из состава судовой радиостанции</w:t>
            </w:r>
          </w:p>
        </w:tc>
        <w:tc>
          <w:tcPr>
            <w:tcW w:w="2261" w:type="dxa"/>
          </w:tcPr>
          <w:p>
            <w:pPr>
              <w:pStyle w:val="0"/>
              <w:jc w:val="center"/>
            </w:pPr>
            <w:r>
              <w:rPr>
                <w:sz w:val="20"/>
              </w:rPr>
              <w:t xml:space="preserve">Тип радиоэлектронных средств</w:t>
            </w:r>
          </w:p>
        </w:tc>
        <w:tc>
          <w:tcPr>
            <w:tcW w:w="2437" w:type="dxa"/>
          </w:tcPr>
          <w:p>
            <w:pPr>
              <w:pStyle w:val="0"/>
              <w:jc w:val="center"/>
            </w:pPr>
            <w:r>
              <w:rPr>
                <w:sz w:val="20"/>
              </w:rPr>
              <w:t xml:space="preserve">Количество радиоэлектронных средств</w:t>
            </w:r>
          </w:p>
        </w:tc>
      </w:tr>
      <w:tr>
        <w:tc>
          <w:tcPr>
            <w:vMerge w:val="continue"/>
          </w:tcPr>
          <w:p/>
        </w:tc>
        <w:tc>
          <w:tcPr>
            <w:vMerge w:val="continue"/>
          </w:tcPr>
          <w:p/>
        </w:tc>
        <w:tc>
          <w:tcPr>
            <w:tcW w:w="2261" w:type="dxa"/>
          </w:tcPr>
          <w:p>
            <w:pPr>
              <w:pStyle w:val="0"/>
            </w:pPr>
            <w:r>
              <w:rPr>
                <w:sz w:val="20"/>
              </w:rPr>
            </w:r>
          </w:p>
        </w:tc>
        <w:tc>
          <w:tcPr>
            <w:tcW w:w="2437" w:type="dxa"/>
          </w:tcPr>
          <w:p>
            <w:pPr>
              <w:pStyle w:val="0"/>
            </w:pPr>
            <w:r>
              <w:rPr>
                <w:sz w:val="20"/>
              </w:rPr>
            </w:r>
          </w:p>
        </w:tc>
      </w:tr>
      <w:tr>
        <w:tc>
          <w:tcPr>
            <w:vMerge w:val="continue"/>
          </w:tcPr>
          <w:p/>
        </w:tc>
        <w:tc>
          <w:tcPr>
            <w:vMerge w:val="continue"/>
          </w:tcPr>
          <w:p/>
        </w:tc>
        <w:tc>
          <w:tcPr>
            <w:tcW w:w="2261" w:type="dxa"/>
          </w:tcPr>
          <w:p>
            <w:pPr>
              <w:pStyle w:val="0"/>
            </w:pPr>
            <w:r>
              <w:rPr>
                <w:sz w:val="20"/>
              </w:rPr>
            </w:r>
          </w:p>
        </w:tc>
        <w:tc>
          <w:tcPr>
            <w:tcW w:w="2437" w:type="dxa"/>
          </w:tcPr>
          <w:p>
            <w:pPr>
              <w:pStyle w:val="0"/>
            </w:pPr>
            <w:r>
              <w:rPr>
                <w:sz w:val="20"/>
              </w:rPr>
            </w:r>
          </w:p>
        </w:tc>
      </w:tr>
      <w:tr>
        <w:tc>
          <w:tcPr>
            <w:vMerge w:val="continue"/>
          </w:tcPr>
          <w:p/>
        </w:tc>
        <w:tc>
          <w:tcPr>
            <w:vMerge w:val="continue"/>
          </w:tcPr>
          <w:p/>
        </w:tc>
        <w:tc>
          <w:tcPr>
            <w:tcW w:w="2261" w:type="dxa"/>
          </w:tcPr>
          <w:p>
            <w:pPr>
              <w:pStyle w:val="0"/>
            </w:pPr>
            <w:r>
              <w:rPr>
                <w:sz w:val="20"/>
              </w:rPr>
            </w:r>
          </w:p>
        </w:tc>
        <w:tc>
          <w:tcPr>
            <w:tcW w:w="2437" w:type="dxa"/>
          </w:tcPr>
          <w:p>
            <w:pPr>
              <w:pStyle w:val="0"/>
            </w:pPr>
            <w:r>
              <w:rPr>
                <w:sz w:val="20"/>
              </w:rPr>
            </w:r>
          </w:p>
        </w:tc>
      </w:tr>
      <w:tr>
        <w:tc>
          <w:tcPr>
            <w:vMerge w:val="continue"/>
          </w:tcPr>
          <w:p/>
        </w:tc>
        <w:tc>
          <w:tcPr>
            <w:vMerge w:val="continue"/>
          </w:tcPr>
          <w:p/>
        </w:tc>
        <w:tc>
          <w:tcPr>
            <w:tcW w:w="2261" w:type="dxa"/>
          </w:tcPr>
          <w:p>
            <w:pPr>
              <w:pStyle w:val="0"/>
            </w:pPr>
            <w:r>
              <w:rPr>
                <w:sz w:val="20"/>
              </w:rPr>
            </w:r>
          </w:p>
        </w:tc>
        <w:tc>
          <w:tcPr>
            <w:tcW w:w="2437" w:type="dxa"/>
          </w:tcPr>
          <w:p>
            <w:pPr>
              <w:pStyle w:val="0"/>
            </w:pPr>
            <w:r>
              <w:rPr>
                <w:sz w:val="20"/>
              </w:rPr>
            </w:r>
          </w:p>
        </w:tc>
      </w:tr>
      <w:tr>
        <w:tc>
          <w:tcPr>
            <w:vMerge w:val="continue"/>
          </w:tcPr>
          <w:p/>
        </w:tc>
        <w:tc>
          <w:tcPr>
            <w:vMerge w:val="continue"/>
          </w:tcPr>
          <w:p/>
        </w:tc>
        <w:tc>
          <w:tcPr>
            <w:tcW w:w="2261" w:type="dxa"/>
          </w:tcPr>
          <w:p>
            <w:pPr>
              <w:pStyle w:val="0"/>
            </w:pPr>
            <w:r>
              <w:rPr>
                <w:sz w:val="20"/>
              </w:rPr>
            </w:r>
          </w:p>
        </w:tc>
        <w:tc>
          <w:tcPr>
            <w:tcW w:w="2437" w:type="dxa"/>
          </w:tcPr>
          <w:p>
            <w:pPr>
              <w:pStyle w:val="0"/>
            </w:pPr>
            <w:r>
              <w:rPr>
                <w:sz w:val="20"/>
              </w:rPr>
            </w:r>
          </w:p>
        </w:tc>
      </w:tr>
    </w:tbl>
    <w:p>
      <w:pPr>
        <w:pStyle w:val="0"/>
        <w:jc w:val="both"/>
      </w:pPr>
      <w:r>
        <w:rPr>
          <w:sz w:val="20"/>
        </w:rPr>
      </w:r>
    </w:p>
    <w:p>
      <w:pPr>
        <w:pStyle w:val="1"/>
        <w:jc w:val="both"/>
      </w:pPr>
      <w:r>
        <w:rPr>
          <w:sz w:val="20"/>
        </w:rPr>
        <w:t xml:space="preserve">    Прошу  выдать  разрешение  на  судовые  радиостанции,  используемые  на</w:t>
      </w:r>
    </w:p>
    <w:p>
      <w:pPr>
        <w:pStyle w:val="1"/>
        <w:jc w:val="both"/>
      </w:pPr>
      <w:r>
        <w:rPr>
          <w:sz w:val="20"/>
        </w:rPr>
        <w:t xml:space="preserve">___________________________________________________________________________</w:t>
      </w:r>
    </w:p>
    <w:p>
      <w:pPr>
        <w:pStyle w:val="1"/>
        <w:jc w:val="both"/>
      </w:pPr>
      <w:r>
        <w:rPr>
          <w:sz w:val="20"/>
        </w:rPr>
        <w:t xml:space="preserve">       (морском судне, судне внутреннего плавания, судне смешанного</w:t>
      </w:r>
    </w:p>
    <w:p>
      <w:pPr>
        <w:pStyle w:val="1"/>
        <w:jc w:val="both"/>
      </w:pPr>
      <w:r>
        <w:rPr>
          <w:sz w:val="20"/>
        </w:rPr>
        <w:t xml:space="preserve">                           (река-море) плавания)</w:t>
      </w:r>
    </w:p>
    <w:p>
      <w:pPr>
        <w:pStyle w:val="1"/>
        <w:jc w:val="both"/>
      </w:pPr>
      <w:r>
        <w:rPr>
          <w:sz w:val="20"/>
        </w:rPr>
        <w:t xml:space="preserve">в  связи  с изменением сведений о судовладельце (для российских юридических</w:t>
      </w:r>
    </w:p>
    <w:p>
      <w:pPr>
        <w:pStyle w:val="1"/>
        <w:jc w:val="both"/>
      </w:pPr>
      <w:r>
        <w:rPr>
          <w:sz w:val="20"/>
        </w:rPr>
        <w:t xml:space="preserve">---------------------------------------------------------------------------</w:t>
      </w:r>
    </w:p>
    <w:p>
      <w:pPr>
        <w:pStyle w:val="1"/>
        <w:jc w:val="both"/>
      </w:pPr>
      <w:r>
        <w:rPr>
          <w:sz w:val="20"/>
        </w:rPr>
        <w:t xml:space="preserve">лиц  -  организационно-правовой  формы, полного наименования судовладельца;</w:t>
      </w:r>
    </w:p>
    <w:p>
      <w:pPr>
        <w:pStyle w:val="1"/>
        <w:jc w:val="both"/>
      </w:pPr>
      <w:r>
        <w:rPr>
          <w:sz w:val="20"/>
        </w:rPr>
        <w:t xml:space="preserve">---------------------------------------------------------------------------</w:t>
      </w:r>
    </w:p>
    <w:p>
      <w:pPr>
        <w:pStyle w:val="1"/>
        <w:jc w:val="both"/>
      </w:pPr>
      <w:r>
        <w:rPr>
          <w:sz w:val="20"/>
        </w:rPr>
        <w:t xml:space="preserve">для   индивидуальных   предпринимателей,   фамилии,  имени,  отчества  (при</w:t>
      </w:r>
    </w:p>
    <w:p>
      <w:pPr>
        <w:pStyle w:val="1"/>
        <w:jc w:val="both"/>
      </w:pPr>
      <w:r>
        <w:rPr>
          <w:sz w:val="20"/>
        </w:rPr>
        <w:t xml:space="preserve">---------------------------------------------------------------------------</w:t>
      </w:r>
    </w:p>
    <w:p>
      <w:pPr>
        <w:pStyle w:val="1"/>
        <w:jc w:val="both"/>
      </w:pPr>
      <w:r>
        <w:rPr>
          <w:sz w:val="20"/>
        </w:rPr>
        <w:t xml:space="preserve">наличии),  при  смене судовладельца в результате реорганизации юридического</w:t>
      </w:r>
    </w:p>
    <w:p>
      <w:pPr>
        <w:pStyle w:val="1"/>
        <w:jc w:val="both"/>
      </w:pPr>
      <w:r>
        <w:rPr>
          <w:sz w:val="20"/>
        </w:rPr>
        <w:t xml:space="preserve">---------------------------------------------------------------------------</w:t>
      </w:r>
    </w:p>
    <w:p>
      <w:pPr>
        <w:pStyle w:val="1"/>
        <w:jc w:val="both"/>
      </w:pPr>
      <w:r>
        <w:rPr>
          <w:sz w:val="20"/>
        </w:rPr>
        <w:t xml:space="preserve">лица  заявитель, являющийся российским юридическим лицом или индивидуальным</w:t>
      </w:r>
    </w:p>
    <w:p>
      <w:pPr>
        <w:pStyle w:val="1"/>
        <w:jc w:val="both"/>
      </w:pPr>
      <w:r>
        <w:rPr>
          <w:sz w:val="20"/>
        </w:rPr>
        <w:t xml:space="preserve">---------------------------------------------------------------------------</w:t>
      </w:r>
    </w:p>
    <w:p>
      <w:pPr>
        <w:pStyle w:val="1"/>
        <w:jc w:val="both"/>
      </w:pPr>
      <w:r>
        <w:rPr>
          <w:sz w:val="20"/>
        </w:rPr>
        <w:t xml:space="preserve">предпринимателем</w:t>
      </w:r>
    </w:p>
    <w:p>
      <w:pPr>
        <w:pStyle w:val="1"/>
        <w:jc w:val="both"/>
      </w:pPr>
      <w:r>
        <w:rPr>
          <w:sz w:val="20"/>
        </w:rPr>
        <w:t xml:space="preserve">----------------</w:t>
      </w:r>
    </w:p>
    <w:p>
      <w:pPr>
        <w:pStyle w:val="1"/>
        <w:jc w:val="both"/>
      </w:pPr>
      <w:r>
        <w:rPr>
          <w:sz w:val="20"/>
        </w:rPr>
      </w:r>
    </w:p>
    <w:p>
      <w:pPr>
        <w:pStyle w:val="1"/>
        <w:jc w:val="both"/>
      </w:pPr>
      <w:r>
        <w:rPr>
          <w:sz w:val="20"/>
        </w:rPr>
        <w:t xml:space="preserve">Приложение:    1. копия доверенности на представление интересов заявителя.</w:t>
      </w:r>
    </w:p>
    <w:p>
      <w:pPr>
        <w:pStyle w:val="1"/>
        <w:jc w:val="both"/>
      </w:pPr>
      <w:r>
        <w:rPr>
          <w:sz w:val="20"/>
        </w:rPr>
        <w:t xml:space="preserve">               2. копия передаточного акта.</w:t>
      </w:r>
    </w:p>
    <w:p>
      <w:pPr>
        <w:pStyle w:val="1"/>
        <w:jc w:val="both"/>
      </w:pPr>
      <w:r>
        <w:rPr>
          <w:sz w:val="20"/>
        </w:rPr>
      </w:r>
    </w:p>
    <w:p>
      <w:pPr>
        <w:pStyle w:val="1"/>
        <w:jc w:val="both"/>
      </w:pPr>
      <w:r>
        <w:rPr>
          <w:sz w:val="20"/>
        </w:rPr>
        <w:t xml:space="preserve">Руководитель &lt;2&gt;</w:t>
      </w:r>
    </w:p>
    <w:p>
      <w:pPr>
        <w:pStyle w:val="1"/>
        <w:jc w:val="both"/>
      </w:pPr>
      <w:r>
        <w:rPr>
          <w:sz w:val="20"/>
        </w:rPr>
        <w:t xml:space="preserve">                                 _________________ ________________________</w:t>
      </w:r>
    </w:p>
    <w:p>
      <w:pPr>
        <w:pStyle w:val="1"/>
        <w:jc w:val="both"/>
      </w:pPr>
      <w:r>
        <w:rPr>
          <w:sz w:val="20"/>
        </w:rPr>
        <w:t xml:space="preserve">            М.П.                     (подпись)       (инициалы, фамилия)</w:t>
      </w:r>
    </w:p>
    <w:p>
      <w:pPr>
        <w:pStyle w:val="1"/>
        <w:jc w:val="both"/>
      </w:pPr>
      <w:r>
        <w:rPr>
          <w:sz w:val="20"/>
        </w:rPr>
        <w:t xml:space="preserve"> (при наличии - для акционерных</w:t>
      </w:r>
    </w:p>
    <w:p>
      <w:pPr>
        <w:pStyle w:val="1"/>
        <w:jc w:val="both"/>
      </w:pPr>
      <w:r>
        <w:rPr>
          <w:sz w:val="20"/>
        </w:rPr>
        <w:t xml:space="preserve">обществ и обществ с ограниченной</w:t>
      </w:r>
    </w:p>
    <w:p>
      <w:pPr>
        <w:pStyle w:val="1"/>
        <w:jc w:val="both"/>
      </w:pPr>
      <w:r>
        <w:rPr>
          <w:sz w:val="20"/>
        </w:rPr>
        <w:t xml:space="preserve">     ответственностью)</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в случае прекращения использования отдельных радиоэлектронных средств в составе судовой радиостанции.</w:t>
      </w:r>
    </w:p>
    <w:p>
      <w:pPr>
        <w:pStyle w:val="0"/>
        <w:spacing w:before="200" w:line-rule="auto"/>
        <w:ind w:firstLine="540"/>
        <w:jc w:val="both"/>
      </w:pPr>
      <w:r>
        <w:rPr>
          <w:sz w:val="20"/>
        </w:rPr>
        <w:t xml:space="preserve">&lt;2&gt;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18.12.2018 N 201</w:t>
            <w:br/>
            <w:t>(ред. от 17.02.2020)</w:t>
            <w:br/>
            <w:t>"Об утверждении Административного регламента предоставлени...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943CD3BCB05B541BD0EF0BD6F9A937E648AFBC8D03D7E4B7671D5D7AFBFD975A1B906085243CD7BBDF0A6D94498016AB3D7FAE7B88DE7CV0P4L" TargetMode = "External"/>
	<Relationship Id="rId8" Type="http://schemas.openxmlformats.org/officeDocument/2006/relationships/hyperlink" Target="consultantplus://offline/ref=AD943CD3BCB05B541BD0EF0BD6F9A937E644ADBF8E03D7E4B7671D5D7AFBFD975A1B906083213783ED900B31D01D9317A83D7CAC67V8P8L" TargetMode = "External"/>
	<Relationship Id="rId9" Type="http://schemas.openxmlformats.org/officeDocument/2006/relationships/hyperlink" Target="consultantplus://offline/ref=AD943CD3BCB05B541BD0EF0BD6F9A937E14CACBD8305D7E4B7671D5D7AFBFD975A1B90608E706D93E9D95E3DCE1D8F08A8237CVAPEL" TargetMode = "External"/>
	<Relationship Id="rId10" Type="http://schemas.openxmlformats.org/officeDocument/2006/relationships/hyperlink" Target="consultantplus://offline/ref=AD943CD3BCB05B541BD0EF0BD6F9A937E648AFBC8D03D7E4B7671D5D7AFBFD975A1B906085243CD7BBDF0A6D94498016AB3D7FAE7B88DE7CV0P4L" TargetMode = "External"/>
	<Relationship Id="rId11" Type="http://schemas.openxmlformats.org/officeDocument/2006/relationships/hyperlink" Target="consultantplus://offline/ref=AD943CD3BCB05B541BD0EF0BD6F9A937E14FA8BC8F09D7E4B7671D5D7AFBFD975A1B906085243CD5BFDF0A6D94498016AB3D7FAE7B88DE7CV0P4L" TargetMode = "External"/>
	<Relationship Id="rId12" Type="http://schemas.openxmlformats.org/officeDocument/2006/relationships/hyperlink" Target="consultantplus://offline/ref=AD943CD3BCB05B541BD0EF0BD6F9A937E14FA8BC8F09D7E4B7671D5D7AFBFD975A1B906085243DD0BFDF0A6D94498016AB3D7FAE7B88DE7CV0P4L" TargetMode = "External"/>
	<Relationship Id="rId13" Type="http://schemas.openxmlformats.org/officeDocument/2006/relationships/hyperlink" Target="consultantplus://offline/ref=AD943CD3BCB05B541BD0EF0BD6F9A937E14FAEB98E08D7E4B7671D5D7AFBFD975A1B906085243DD6BCDF0A6D94498016AB3D7FAE7B88DE7CV0P4L" TargetMode = "External"/>
	<Relationship Id="rId14" Type="http://schemas.openxmlformats.org/officeDocument/2006/relationships/hyperlink" Target="consultantplus://offline/ref=AD943CD3BCB05B541BD0EF0BD6F9A937E64DAFBF8F08D7E4B7671D5D7AFBFD975A1B90628D2F6886F881533CD1028C14B4217EAEV6P7L" TargetMode = "External"/>
	<Relationship Id="rId15" Type="http://schemas.openxmlformats.org/officeDocument/2006/relationships/hyperlink" Target="consultantplus://offline/ref=AD943CD3BCB05B541BD0EF0BD6F9A937E648AFBC8D03D7E4B7671D5D7AFBFD975A1B906085243CD6BEDF0A6D94498016AB3D7FAE7B88DE7CV0P4L" TargetMode = "External"/>
	<Relationship Id="rId16" Type="http://schemas.openxmlformats.org/officeDocument/2006/relationships/hyperlink" Target="consultantplus://offline/ref=AD943CD3BCB05B541BD0EF0BD6F9A937E14FAEB88F06D7E4B7671D5D7AFBFD975A1B906085243CD3BDDF0A6D94498016AB3D7FAE7B88DE7CV0P4L" TargetMode = "External"/>
	<Relationship Id="rId17" Type="http://schemas.openxmlformats.org/officeDocument/2006/relationships/hyperlink" Target="consultantplus://offline/ref=AD943CD3BCB05B541BD0EF0BD6F9A937E64DAFBF8F08D7E4B7671D5D7AFBFD975A1B906385273783ED900B31D01D9317A83D7CAC67V8P8L" TargetMode = "External"/>
	<Relationship Id="rId18" Type="http://schemas.openxmlformats.org/officeDocument/2006/relationships/hyperlink" Target="consultantplus://offline/ref=AD943CD3BCB05B541BD0EF0BD6F9A937E14FAEB88F06D7E4B7671D5D7AFBFD975A1B906085243CD3BDDF0A6D94498016AB3D7FAE7B88DE7CV0P4L" TargetMode = "External"/>
	<Relationship Id="rId19" Type="http://schemas.openxmlformats.org/officeDocument/2006/relationships/hyperlink" Target="consultantplus://offline/ref=AD943CD3BCB05B541BD0EF0BD6F9A937E14FAEB98900D7E4B7671D5D7AFBFD97481BC86C852522D6BECA5C3CD2V1PEL" TargetMode = "External"/>
	<Relationship Id="rId20" Type="http://schemas.openxmlformats.org/officeDocument/2006/relationships/hyperlink" Target="consultantplus://offline/ref=AD943CD3BCB05B541BD0EF0BD6F9A937E64DAFBF8F08D7E4B7671D5D7AFBFD975A1B9062832F6886F881533CD1028C14B4217EAEV6P7L" TargetMode = "External"/>
	<Relationship Id="rId21" Type="http://schemas.openxmlformats.org/officeDocument/2006/relationships/hyperlink" Target="consultantplus://offline/ref=AD943CD3BCB05B541BD0EF0BD6F9A937E64DAFBF8F08D7E4B7671D5D7AFBFD975A1B9065862F6886F881533CD1028C14B4217EAEV6P7L" TargetMode = "External"/>
	<Relationship Id="rId22" Type="http://schemas.openxmlformats.org/officeDocument/2006/relationships/hyperlink" Target="consultantplus://offline/ref=AD943CD3BCB05B541BD0EF0BD6F9A937E64DAFBF8F08D7E4B7671D5D7AFBFD975A1B9060802D3783ED900B31D01D9317A83D7CAC67V8P8L" TargetMode = "External"/>
	<Relationship Id="rId23" Type="http://schemas.openxmlformats.org/officeDocument/2006/relationships/hyperlink" Target="consultantplus://offline/ref=AD943CD3BCB05B541BD0EF0BD6F9A937E64DAFBF8F08D7E4B7671D5D7AFBFD975A1B90638C243783ED900B31D01D9317A83D7CAC67V8P8L" TargetMode = "External"/>
	<Relationship Id="rId24" Type="http://schemas.openxmlformats.org/officeDocument/2006/relationships/hyperlink" Target="consultantplus://offline/ref=AD943CD3BCB05B541BD0EF0BD6F9A937E64DAFBF8F08D7E4B7671D5D7AFBFD975A1B90638C243783ED900B31D01D9317A83D7CAC67V8P8L" TargetMode = "External"/>
	<Relationship Id="rId25" Type="http://schemas.openxmlformats.org/officeDocument/2006/relationships/hyperlink" Target="consultantplus://offline/ref=AD943CD3BCB05B541BD0EF0BD6F9A937E14DAABE8303D7E4B7671D5D7AFBFD975A1B906581253783ED900B31D01D9317A83D7CAC67V8P8L" TargetMode = "External"/>
	<Relationship Id="rId26" Type="http://schemas.openxmlformats.org/officeDocument/2006/relationships/hyperlink" Target="consultantplus://offline/ref=AD943CD3BCB05B541BD0EF0BD6F9A937E14DAABE8303D7E4B7671D5D7AFBFD975A1B906080233783ED900B31D01D9317A83D7CAC67V8P8L" TargetMode = "External"/>
	<Relationship Id="rId27" Type="http://schemas.openxmlformats.org/officeDocument/2006/relationships/hyperlink" Target="consultantplus://offline/ref=AD943CD3BCB05B541BD0EF0BD6F9A937E14EADB08203D7E4B7671D5D7AFBFD975A1B9060852539DEB7800F7885118D17B4227CB2678ADCV7PCL" TargetMode = "External"/>
	<Relationship Id="rId28" Type="http://schemas.openxmlformats.org/officeDocument/2006/relationships/hyperlink" Target="consultantplus://offline/ref=AD943CD3BCB05B541BD0EF0BD6F9A937E64DAFBF8F08D7E4B7671D5D7AFBFD97481BC86C852522D6BECA5C3CD2V1PEL" TargetMode = "External"/>
	<Relationship Id="rId29" Type="http://schemas.openxmlformats.org/officeDocument/2006/relationships/hyperlink" Target="consultantplus://offline/ref=AD943CD3BCB05B541BD0EF0BD6F9A937E14FA8BC8F08D7E4B7671D5D7AFBFD975A1B906085243CD2BBDF0A6D94498016AB3D7FAE7B88DE7CV0P4L" TargetMode = "External"/>
	<Relationship Id="rId30" Type="http://schemas.openxmlformats.org/officeDocument/2006/relationships/hyperlink" Target="consultantplus://offline/ref=AD943CD3BCB05B541BD0EF0BD6F9A937E14FA8BC8F08D7E4B7671D5D7AFBFD975A1B906085243CD2BBDF0A6D94498016AB3D7FAE7B88DE7CV0P4L" TargetMode = "External"/>
	<Relationship Id="rId31" Type="http://schemas.openxmlformats.org/officeDocument/2006/relationships/hyperlink" Target="consultantplus://offline/ref=AD943CD3BCB05B541BD0EF0BD6F9A937E64DAFBF8F08D7E4B7671D5D7AFBFD975A1B906087223783ED900B31D01D9317A83D7CAC67V8P8L" TargetMode = "External"/>
	<Relationship Id="rId32" Type="http://schemas.openxmlformats.org/officeDocument/2006/relationships/hyperlink" Target="consultantplus://offline/ref=AD943CD3BCB05B541BD0EF0BD6F9A937E14FAEB98E08D7E4B7671D5D7AFBFD97481BC86C852522D6BECA5C3CD2V1PEL" TargetMode = "External"/>
	<Relationship Id="rId33" Type="http://schemas.openxmlformats.org/officeDocument/2006/relationships/hyperlink" Target="consultantplus://offline/ref=AD943CD3BCB05B541BD0EF0BD6F9A937E14DAABE8303D7E4B7671D5D7AFBFD975A1B906581253783ED900B31D01D9317A83D7CAC67V8P8L" TargetMode = "External"/>
	<Relationship Id="rId34" Type="http://schemas.openxmlformats.org/officeDocument/2006/relationships/hyperlink" Target="consultantplus://offline/ref=AD943CD3BCB05B541BD0EF0BD6F9A937E14DAABE8303D7E4B7671D5D7AFBFD975A1B906581253783ED900B31D01D9317A83D7CAC67V8P8L" TargetMode = "External"/>
	<Relationship Id="rId35" Type="http://schemas.openxmlformats.org/officeDocument/2006/relationships/hyperlink" Target="consultantplus://offline/ref=AD943CD3BCB05B541BD0EF0BD6F9A937E445AFBD8306D7E4B7671D5D7AFBFD975A1B906085243CD6BEDF0A6D94498016AB3D7FAE7B88DE7CV0P4L" TargetMode = "External"/>
	<Relationship Id="rId36" Type="http://schemas.openxmlformats.org/officeDocument/2006/relationships/hyperlink" Target="consultantplus://offline/ref=AD943CD3BCB05B541BD0EF0BD6F9A937E648AFBC8D03D7E4B7671D5D7AFBFD975A1B906085243CD6BFDF0A6D94498016AB3D7FAE7B88DE7CV0P4L" TargetMode = "External"/>
	<Relationship Id="rId37" Type="http://schemas.openxmlformats.org/officeDocument/2006/relationships/hyperlink" Target="consultantplus://offline/ref=AD943CD3BCB05B541BD0EF0BD6F9A937E648AFBC8D03D7E4B7671D5D7AFBFD975A1B906085243CD6B9DF0A6D94498016AB3D7FAE7B88DE7CV0P4L" TargetMode = "External"/>
	<Relationship Id="rId38" Type="http://schemas.openxmlformats.org/officeDocument/2006/relationships/hyperlink" Target="consultantplus://offline/ref=AD943CD3BCB05B541BD0EF0BD6F9A937E648AFBC8D03D7E4B7671D5D7AFBFD975A1B906085243CD6BADF0A6D94498016AB3D7FAE7B88DE7CV0P4L" TargetMode = "External"/>
	<Relationship Id="rId39" Type="http://schemas.openxmlformats.org/officeDocument/2006/relationships/hyperlink" Target="consultantplus://offline/ref=AD943CD3BCB05B541BD0EF0BD6F9A937E648AFBC8D03D7E4B7671D5D7AFBFD975A1B906085243CD6BBDF0A6D94498016AB3D7FAE7B88DE7CV0P4L" TargetMode = "External"/>
	<Relationship Id="rId40" Type="http://schemas.openxmlformats.org/officeDocument/2006/relationships/hyperlink" Target="consultantplus://offline/ref=AD943CD3BCB05B541BD0EF0BD6F9A937E648AFBC8D03D7E4B7671D5D7AFBFD975A1B906085243CD6B4DF0A6D94498016AB3D7FAE7B88DE7CV0P4L" TargetMode = "External"/>
	<Relationship Id="rId41" Type="http://schemas.openxmlformats.org/officeDocument/2006/relationships/hyperlink" Target="consultantplus://offline/ref=AD943CD3BCB05B541BD0EF0BD6F9A937E648AFBC8D03D7E4B7671D5D7AFBFD975A1B906085243CD6B5DF0A6D94498016AB3D7FAE7B88DE7CV0P4L" TargetMode = "External"/>
	<Relationship Id="rId42" Type="http://schemas.openxmlformats.org/officeDocument/2006/relationships/hyperlink" Target="consultantplus://offline/ref=AD943CD3BCB05B541BD0EF0BD6F9A937E648AFBC8D03D7E4B7671D5D7AFBFD975A1B906085243CD5BCDF0A6D94498016AB3D7FAE7B88DE7CV0P4L" TargetMode = "External"/>
	<Relationship Id="rId43" Type="http://schemas.openxmlformats.org/officeDocument/2006/relationships/hyperlink" Target="consultantplus://offline/ref=AD943CD3BCB05B541BD0EF0BD6F9A937E648AFBC8D03D7E4B7671D5D7AFBFD975A1B906085243CD5BDDF0A6D94498016AB3D7FAE7B88DE7CV0P4L" TargetMode = "External"/>
	<Relationship Id="rId44" Type="http://schemas.openxmlformats.org/officeDocument/2006/relationships/hyperlink" Target="consultantplus://offline/ref=AD943CD3BCB05B541BD0EF0BD6F9A937E648AFBC8D03D7E4B7671D5D7AFBFD975A1B906085243CD5BFDF0A6D94498016AB3D7FAE7B88DE7CV0P4L" TargetMode = "External"/>
	<Relationship Id="rId45" Type="http://schemas.openxmlformats.org/officeDocument/2006/relationships/hyperlink" Target="consultantplus://offline/ref=AD943CD3BCB05B541BD0EF0BD6F9A937E645A9B98A04D7E4B7671D5D7AFBFD97481BC86C852522D6BECA5C3CD2V1PEL" TargetMode = "External"/>
	<Relationship Id="rId46" Type="http://schemas.openxmlformats.org/officeDocument/2006/relationships/hyperlink" Target="consultantplus://offline/ref=AD943CD3BCB05B541BD0EF0BD6F9A937E14FAEB88F06D7E4B7671D5D7AFBFD975A1B906085243CDFB4DF0A6D94498016AB3D7FAE7B88DE7CV0P4L" TargetMode = "External"/>
	<Relationship Id="rId47" Type="http://schemas.openxmlformats.org/officeDocument/2006/relationships/hyperlink" Target="consultantplus://offline/ref=AD943CD3BCB05B541BD0EF0BD6F9A937E14FAEB88F06D7E4B7671D5D7AFBFD975A1B906085243CD3BDDF0A6D94498016AB3D7FAE7B88DE7CV0P4L" TargetMode = "External"/>
	<Relationship Id="rId48" Type="http://schemas.openxmlformats.org/officeDocument/2006/relationships/hyperlink" Target="consultantplus://offline/ref=AD943CD3BCB05B541BD0EF0BD6F9A937E648AFBC8D03D7E4B7671D5D7AFBFD975A1B906085243CD5B8DF0A6D94498016AB3D7FAE7B88DE7CV0P4L" TargetMode = "External"/>
	<Relationship Id="rId49" Type="http://schemas.openxmlformats.org/officeDocument/2006/relationships/hyperlink" Target="consultantplus://offline/ref=AD943CD3BCB05B541BD0EF0BD6F9A937E648AFBC8D03D7E4B7671D5D7AFBFD975A1B906085243CD5B9DF0A6D94498016AB3D7FAE7B88DE7CV0P4L" TargetMode = "External"/>
	<Relationship Id="rId50" Type="http://schemas.openxmlformats.org/officeDocument/2006/relationships/hyperlink" Target="consultantplus://offline/ref=AD943CD3BCB05B541BD0EF0BD6F9A937E14DA8BD8B08D7E4B7671D5D7AFBFD975A1B906085243CD5BCDF0A6D94498016AB3D7FAE7B88DE7CV0P4L" TargetMode = "External"/>
	<Relationship Id="rId51" Type="http://schemas.openxmlformats.org/officeDocument/2006/relationships/hyperlink" Target="consultantplus://offline/ref=AD943CD3BCB05B541BD0EF0BD6F9A937E64DAFBF8F08D7E4B7671D5D7AFBFD97481BC86C852522D6BECA5C3CD2V1PEL" TargetMode = "External"/>
	<Relationship Id="rId52" Type="http://schemas.openxmlformats.org/officeDocument/2006/relationships/hyperlink" Target="consultantplus://offline/ref=AD943CD3BCB05B541BD0EF0BD6F9A937E64DACBA8B06D7E4B7671D5D7AFBFD975A1B9060872F6886F881533CD1028C14B4217EAEV6P7L" TargetMode = "External"/>
	<Relationship Id="rId53" Type="http://schemas.openxmlformats.org/officeDocument/2006/relationships/hyperlink" Target="consultantplus://offline/ref=AD943CD3BCB05B541BD0EF0BD6F9A937E64DAFBF8F08D7E4B7671D5D7AFBFD975A1B906085243FD2BEDF0A6D94498016AB3D7FAE7B88DE7CV0P4L" TargetMode = "External"/>
	<Relationship Id="rId54" Type="http://schemas.openxmlformats.org/officeDocument/2006/relationships/hyperlink" Target="consultantplus://offline/ref=AD943CD3BCB05B541BD0EF0BD6F9A937E64CADBE8301D7E4B7671D5D7AFBFD97481BC86C852522D6BECA5C3CD2V1PEL" TargetMode = "External"/>
	<Relationship Id="rId55" Type="http://schemas.openxmlformats.org/officeDocument/2006/relationships/hyperlink" Target="consultantplus://offline/ref=AD943CD3BCB05B541BD0E612D1F9A937E745AFBA8E08D7E4B7671D5D7AFBFD97481BC86C852522D6BECA5C3CD2V1PEL" TargetMode = "External"/>
	<Relationship Id="rId56" Type="http://schemas.openxmlformats.org/officeDocument/2006/relationships/hyperlink" Target="consultantplus://offline/ref=AD943CD3BCB05B541BD0E612D1F9A937E745AFBA8E08D7E4B7671D5D7AFBFD97481BC86C852522D6BECA5C3CD2V1P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18.12.2018 N 201
(ред. от 17.02.2020)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(Зарегистрировано в Минюсте России 01.04.2019 N 54230)</dc:title>
  <dcterms:created xsi:type="dcterms:W3CDTF">2022-12-01T11:15:21Z</dcterms:created>
</cp:coreProperties>
</file>