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</w:r>
      <w:r w:rsidR="00E87611">
        <w:rPr>
          <w:rFonts w:eastAsia="Calibri"/>
          <w:b/>
          <w:szCs w:val="28"/>
          <w:lang w:eastAsia="en-US"/>
        </w:rPr>
        <w:t xml:space="preserve">в </w:t>
      </w:r>
      <w:r w:rsidR="00244ED0">
        <w:rPr>
          <w:rFonts w:eastAsia="Calibri"/>
          <w:b/>
          <w:szCs w:val="28"/>
          <w:lang w:eastAsia="en-US"/>
        </w:rPr>
        <w:t>4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B96125">
        <w:rPr>
          <w:rFonts w:eastAsia="Calibri"/>
          <w:b/>
          <w:szCs w:val="28"/>
          <w:lang w:eastAsia="en-US"/>
        </w:rPr>
        <w:t>7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E87611">
        <w:rPr>
          <w:szCs w:val="28"/>
        </w:rPr>
        <w:t xml:space="preserve"> </w:t>
      </w:r>
      <w:r w:rsidR="00FF2756">
        <w:rPr>
          <w:szCs w:val="28"/>
        </w:rPr>
        <w:t>4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B96125">
        <w:rPr>
          <w:szCs w:val="28"/>
        </w:rPr>
        <w:t>7</w:t>
      </w:r>
      <w:r w:rsidR="003C6E91" w:rsidRPr="00D64C8D">
        <w:rPr>
          <w:szCs w:val="28"/>
        </w:rPr>
        <w:t xml:space="preserve"> г. в Управление поступило </w:t>
      </w:r>
      <w:r w:rsidR="00FF2756">
        <w:rPr>
          <w:szCs w:val="28"/>
        </w:rPr>
        <w:t>754</w:t>
      </w:r>
      <w:r w:rsidR="003C6E91" w:rsidRPr="00D64C8D">
        <w:rPr>
          <w:szCs w:val="28"/>
        </w:rPr>
        <w:t xml:space="preserve"> обращени</w:t>
      </w:r>
      <w:r w:rsidR="00CE0B5C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18860" cy="3840480"/>
            <wp:effectExtent l="0" t="0" r="15240" b="266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37546" w:rsidRDefault="00A37546" w:rsidP="003C6E91">
      <w:pPr>
        <w:ind w:firstLine="708"/>
        <w:rPr>
          <w:szCs w:val="28"/>
        </w:rPr>
      </w:pPr>
    </w:p>
    <w:p w:rsidR="003C6E91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</w:t>
      </w:r>
      <w:r w:rsidR="00FF2756">
        <w:rPr>
          <w:szCs w:val="28"/>
        </w:rPr>
        <w:t>4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CE0931" w:rsidRPr="007D05F3" w:rsidRDefault="00CE0931" w:rsidP="003C6E91">
      <w:pPr>
        <w:ind w:firstLine="708"/>
        <w:rPr>
          <w:szCs w:val="28"/>
        </w:rPr>
      </w:pP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5D4964">
        <w:rPr>
          <w:szCs w:val="28"/>
        </w:rPr>
        <w:t>25,9</w:t>
      </w:r>
      <w:r w:rsidR="00E8761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5D4964">
        <w:rPr>
          <w:szCs w:val="28"/>
        </w:rPr>
        <w:t>27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672936">
        <w:rPr>
          <w:szCs w:val="28"/>
        </w:rPr>
        <w:t>2</w:t>
      </w:r>
      <w:r w:rsidR="007376E4">
        <w:rPr>
          <w:szCs w:val="28"/>
        </w:rPr>
        <w:t>,</w:t>
      </w:r>
      <w:r w:rsidR="005D4964">
        <w:rPr>
          <w:szCs w:val="28"/>
        </w:rPr>
        <w:t>3</w:t>
      </w:r>
      <w:r w:rsidR="00E87611"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средств массовой информации;</w:t>
      </w:r>
    </w:p>
    <w:p w:rsidR="003C6E91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7376E4">
        <w:rPr>
          <w:szCs w:val="28"/>
        </w:rPr>
        <w:t>1</w:t>
      </w:r>
      <w:r w:rsidR="005D4964">
        <w:rPr>
          <w:szCs w:val="28"/>
        </w:rPr>
        <w:t>5</w:t>
      </w:r>
      <w:r w:rsidR="007376E4">
        <w:rPr>
          <w:szCs w:val="28"/>
        </w:rPr>
        <w:t>,</w:t>
      </w:r>
      <w:r w:rsidR="00672936">
        <w:rPr>
          <w:szCs w:val="28"/>
        </w:rPr>
        <w:t>6</w:t>
      </w:r>
      <w:r w:rsidRPr="007D05F3">
        <w:rPr>
          <w:szCs w:val="28"/>
        </w:rPr>
        <w:t xml:space="preserve"> % обращений – </w:t>
      </w:r>
      <w:r w:rsidR="007376E4">
        <w:rPr>
          <w:szCs w:val="28"/>
        </w:rPr>
        <w:t xml:space="preserve">Интернет и </w:t>
      </w:r>
      <w:proofErr w:type="gramStart"/>
      <w:r w:rsidR="007376E4">
        <w:rPr>
          <w:szCs w:val="28"/>
        </w:rPr>
        <w:t>ИТ</w:t>
      </w:r>
      <w:proofErr w:type="gramEnd"/>
      <w:r w:rsidR="007376E4">
        <w:rPr>
          <w:szCs w:val="28"/>
        </w:rPr>
        <w:t>;</w:t>
      </w:r>
    </w:p>
    <w:p w:rsidR="007376E4" w:rsidRDefault="007376E4" w:rsidP="003C6E91">
      <w:pPr>
        <w:rPr>
          <w:szCs w:val="28"/>
        </w:rPr>
      </w:pPr>
      <w:r>
        <w:rPr>
          <w:szCs w:val="28"/>
        </w:rPr>
        <w:t xml:space="preserve">- </w:t>
      </w:r>
      <w:r w:rsidR="005D4964">
        <w:rPr>
          <w:szCs w:val="28"/>
        </w:rPr>
        <w:t>29</w:t>
      </w:r>
      <w:r w:rsidR="00CE0B5C">
        <w:rPr>
          <w:szCs w:val="28"/>
        </w:rPr>
        <w:t>,</w:t>
      </w:r>
      <w:r w:rsidR="005D4964">
        <w:rPr>
          <w:szCs w:val="28"/>
        </w:rPr>
        <w:t>2</w:t>
      </w:r>
      <w:r>
        <w:rPr>
          <w:szCs w:val="28"/>
        </w:rPr>
        <w:t>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D246A" w:rsidRDefault="005D246A" w:rsidP="003C6E91">
      <w:pPr>
        <w:rPr>
          <w:szCs w:val="28"/>
        </w:rPr>
      </w:pPr>
    </w:p>
    <w:p w:rsidR="005B719B" w:rsidRDefault="005B719B" w:rsidP="003C6E91">
      <w:pPr>
        <w:rPr>
          <w:szCs w:val="28"/>
        </w:rPr>
      </w:pPr>
    </w:p>
    <w:p w:rsidR="005B719B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310BB8">
        <w:rPr>
          <w:szCs w:val="28"/>
        </w:rPr>
        <w:t>4</w:t>
      </w:r>
      <w:r w:rsidRPr="00A37546">
        <w:rPr>
          <w:szCs w:val="28"/>
        </w:rPr>
        <w:t xml:space="preserve"> квартале 201</w:t>
      </w:r>
      <w:r w:rsidR="006A7152">
        <w:rPr>
          <w:szCs w:val="28"/>
        </w:rPr>
        <w:t>7</w:t>
      </w:r>
      <w:r w:rsidRPr="00A37546">
        <w:rPr>
          <w:szCs w:val="28"/>
        </w:rPr>
        <w:t xml:space="preserve"> года:</w:t>
      </w:r>
    </w:p>
    <w:p w:rsidR="005B719B" w:rsidRDefault="005B719B" w:rsidP="003C6E91">
      <w:pPr>
        <w:rPr>
          <w:szCs w:val="28"/>
        </w:rPr>
      </w:pPr>
    </w:p>
    <w:p w:rsidR="00AF7F56" w:rsidRPr="00BD5941" w:rsidRDefault="00BB0B5F" w:rsidP="00BD5941">
      <w:pPr>
        <w:keepNext/>
      </w:pPr>
      <w:r>
        <w:rPr>
          <w:noProof/>
        </w:rPr>
        <w:drawing>
          <wp:inline distT="0" distB="0" distL="0" distR="0" wp14:anchorId="7EAE8B9E" wp14:editId="092F18AC">
            <wp:extent cx="6111240" cy="4419600"/>
            <wp:effectExtent l="0" t="0" r="22860" b="19050"/>
            <wp:docPr id="45" name="Диаграмма 45" title="Результаты рассмотрения обращений граждан и юридических лиц во 2 квартале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D5941" w:rsidRDefault="00BD5941" w:rsidP="007376E4">
      <w:pPr>
        <w:ind w:firstLine="708"/>
        <w:jc w:val="both"/>
        <w:rPr>
          <w:szCs w:val="28"/>
        </w:rPr>
      </w:pPr>
    </w:p>
    <w:p w:rsidR="003C6E91" w:rsidRDefault="003C6E91" w:rsidP="007376E4">
      <w:pPr>
        <w:ind w:firstLine="708"/>
        <w:jc w:val="both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 w:rsidR="00B36ED6">
        <w:rPr>
          <w:szCs w:val="28"/>
        </w:rPr>
        <w:t xml:space="preserve"> </w:t>
      </w:r>
      <w:r w:rsidR="0099650B">
        <w:rPr>
          <w:szCs w:val="28"/>
        </w:rPr>
        <w:t>4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B96125">
        <w:rPr>
          <w:szCs w:val="28"/>
        </w:rPr>
        <w:t>7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BC2B4F">
        <w:rPr>
          <w:szCs w:val="28"/>
        </w:rPr>
        <w:t xml:space="preserve">материалы </w:t>
      </w:r>
      <w:r w:rsidR="0099650B">
        <w:rPr>
          <w:szCs w:val="28"/>
        </w:rPr>
        <w:t>6</w:t>
      </w:r>
      <w:r w:rsidR="009E0BE0">
        <w:rPr>
          <w:szCs w:val="28"/>
        </w:rPr>
        <w:t>9</w:t>
      </w:r>
      <w:bookmarkStart w:id="0" w:name="_GoBack"/>
      <w:bookmarkEnd w:id="0"/>
      <w:r w:rsidR="00BC2B4F">
        <w:rPr>
          <w:szCs w:val="28"/>
        </w:rPr>
        <w:t xml:space="preserve"> обращений направлены в суд.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C28" w:rsidRDefault="00AE3C28">
      <w:r>
        <w:separator/>
      </w:r>
    </w:p>
  </w:endnote>
  <w:endnote w:type="continuationSeparator" w:id="0">
    <w:p w:rsidR="00AE3C28" w:rsidRDefault="00AE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C28" w:rsidRDefault="00AE3C28">
      <w:r>
        <w:separator/>
      </w:r>
    </w:p>
  </w:footnote>
  <w:footnote w:type="continuationSeparator" w:id="0">
    <w:p w:rsidR="00AE3C28" w:rsidRDefault="00AE3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0B3F30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9E0BE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06F4"/>
    <w:rsid w:val="00092E39"/>
    <w:rsid w:val="000A3C11"/>
    <w:rsid w:val="000B3F30"/>
    <w:rsid w:val="000C2A1A"/>
    <w:rsid w:val="000F407D"/>
    <w:rsid w:val="00102019"/>
    <w:rsid w:val="0011352C"/>
    <w:rsid w:val="001163AC"/>
    <w:rsid w:val="0011748C"/>
    <w:rsid w:val="0013455B"/>
    <w:rsid w:val="00190EB9"/>
    <w:rsid w:val="001A7CE1"/>
    <w:rsid w:val="001E2F59"/>
    <w:rsid w:val="002368F8"/>
    <w:rsid w:val="00244ED0"/>
    <w:rsid w:val="002558A6"/>
    <w:rsid w:val="00262AF2"/>
    <w:rsid w:val="00293B6F"/>
    <w:rsid w:val="002D071C"/>
    <w:rsid w:val="002D3E4F"/>
    <w:rsid w:val="002D74C2"/>
    <w:rsid w:val="002F5B9E"/>
    <w:rsid w:val="00310BB8"/>
    <w:rsid w:val="003163AB"/>
    <w:rsid w:val="00327409"/>
    <w:rsid w:val="0034035D"/>
    <w:rsid w:val="00352B76"/>
    <w:rsid w:val="00383B52"/>
    <w:rsid w:val="0038775E"/>
    <w:rsid w:val="003C6E91"/>
    <w:rsid w:val="003C78EB"/>
    <w:rsid w:val="00406F34"/>
    <w:rsid w:val="00411E98"/>
    <w:rsid w:val="00435B88"/>
    <w:rsid w:val="0044115A"/>
    <w:rsid w:val="004558B9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53EE3"/>
    <w:rsid w:val="00557A22"/>
    <w:rsid w:val="00592E8E"/>
    <w:rsid w:val="00596B0C"/>
    <w:rsid w:val="005B719B"/>
    <w:rsid w:val="005D246A"/>
    <w:rsid w:val="005D2F6A"/>
    <w:rsid w:val="005D4964"/>
    <w:rsid w:val="005D7706"/>
    <w:rsid w:val="005E1719"/>
    <w:rsid w:val="005F3886"/>
    <w:rsid w:val="00600766"/>
    <w:rsid w:val="00603D13"/>
    <w:rsid w:val="00644B0A"/>
    <w:rsid w:val="00652F6E"/>
    <w:rsid w:val="00672936"/>
    <w:rsid w:val="0068123A"/>
    <w:rsid w:val="00687374"/>
    <w:rsid w:val="006A7152"/>
    <w:rsid w:val="006B3276"/>
    <w:rsid w:val="006C551A"/>
    <w:rsid w:val="006E6BD1"/>
    <w:rsid w:val="007376E4"/>
    <w:rsid w:val="00745C1A"/>
    <w:rsid w:val="00756269"/>
    <w:rsid w:val="007718C9"/>
    <w:rsid w:val="007C78B4"/>
    <w:rsid w:val="0082360F"/>
    <w:rsid w:val="00856117"/>
    <w:rsid w:val="008C1005"/>
    <w:rsid w:val="008F44FE"/>
    <w:rsid w:val="00911120"/>
    <w:rsid w:val="00911581"/>
    <w:rsid w:val="009163D3"/>
    <w:rsid w:val="009167CD"/>
    <w:rsid w:val="0092585E"/>
    <w:rsid w:val="00945772"/>
    <w:rsid w:val="00971B19"/>
    <w:rsid w:val="009870F4"/>
    <w:rsid w:val="00992E94"/>
    <w:rsid w:val="0099650B"/>
    <w:rsid w:val="00997B1E"/>
    <w:rsid w:val="009B576D"/>
    <w:rsid w:val="009D0AF6"/>
    <w:rsid w:val="009D258E"/>
    <w:rsid w:val="009E0BE0"/>
    <w:rsid w:val="009E365C"/>
    <w:rsid w:val="009F30D9"/>
    <w:rsid w:val="009F4E25"/>
    <w:rsid w:val="009F61C9"/>
    <w:rsid w:val="00A37546"/>
    <w:rsid w:val="00A80073"/>
    <w:rsid w:val="00A8027E"/>
    <w:rsid w:val="00A86756"/>
    <w:rsid w:val="00A87795"/>
    <w:rsid w:val="00A97D16"/>
    <w:rsid w:val="00AA5ABA"/>
    <w:rsid w:val="00AA6712"/>
    <w:rsid w:val="00AB3598"/>
    <w:rsid w:val="00AD0D1F"/>
    <w:rsid w:val="00AE3C28"/>
    <w:rsid w:val="00AF6F2F"/>
    <w:rsid w:val="00AF7F56"/>
    <w:rsid w:val="00B2103B"/>
    <w:rsid w:val="00B27DE8"/>
    <w:rsid w:val="00B34227"/>
    <w:rsid w:val="00B36ED6"/>
    <w:rsid w:val="00B960BD"/>
    <w:rsid w:val="00B96125"/>
    <w:rsid w:val="00BB0B5F"/>
    <w:rsid w:val="00BC2B4F"/>
    <w:rsid w:val="00BD376C"/>
    <w:rsid w:val="00BD378B"/>
    <w:rsid w:val="00BD5941"/>
    <w:rsid w:val="00C02B7F"/>
    <w:rsid w:val="00C04097"/>
    <w:rsid w:val="00C045F2"/>
    <w:rsid w:val="00C2374C"/>
    <w:rsid w:val="00C257F3"/>
    <w:rsid w:val="00C4305E"/>
    <w:rsid w:val="00C72504"/>
    <w:rsid w:val="00C72C4C"/>
    <w:rsid w:val="00C84A83"/>
    <w:rsid w:val="00CB4565"/>
    <w:rsid w:val="00CB5A53"/>
    <w:rsid w:val="00CD5FC3"/>
    <w:rsid w:val="00CE0931"/>
    <w:rsid w:val="00CE0B5C"/>
    <w:rsid w:val="00CF0F3B"/>
    <w:rsid w:val="00CF4723"/>
    <w:rsid w:val="00D028ED"/>
    <w:rsid w:val="00D30880"/>
    <w:rsid w:val="00D3497E"/>
    <w:rsid w:val="00DA7229"/>
    <w:rsid w:val="00DB2B76"/>
    <w:rsid w:val="00DE2002"/>
    <w:rsid w:val="00E14A67"/>
    <w:rsid w:val="00E264E3"/>
    <w:rsid w:val="00E319E5"/>
    <w:rsid w:val="00E320EB"/>
    <w:rsid w:val="00E34FF1"/>
    <w:rsid w:val="00E46D33"/>
    <w:rsid w:val="00E47A0D"/>
    <w:rsid w:val="00E67DA1"/>
    <w:rsid w:val="00E77477"/>
    <w:rsid w:val="00E83943"/>
    <w:rsid w:val="00E87611"/>
    <w:rsid w:val="00E9316C"/>
    <w:rsid w:val="00EB56D1"/>
    <w:rsid w:val="00EB7D2D"/>
    <w:rsid w:val="00F029BC"/>
    <w:rsid w:val="00F13875"/>
    <w:rsid w:val="00F15CEA"/>
    <w:rsid w:val="00F424F1"/>
    <w:rsid w:val="00F44C6E"/>
    <w:rsid w:val="00F46208"/>
    <w:rsid w:val="00F546F8"/>
    <w:rsid w:val="00F7170E"/>
    <w:rsid w:val="00F849EC"/>
    <w:rsid w:val="00FA1BC6"/>
    <w:rsid w:val="00FA40E4"/>
    <w:rsid w:val="00FA466C"/>
    <w:rsid w:val="00FC6EBB"/>
    <w:rsid w:val="00FD5FDE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BD5941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  <w:style w:type="paragraph" w:styleId="ae">
    <w:name w:val="caption"/>
    <w:basedOn w:val="a"/>
    <w:next w:val="a"/>
    <w:uiPriority w:val="35"/>
    <w:unhideWhenUsed/>
    <w:qFormat/>
    <w:rsid w:val="00BD594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2017 г.</a:t>
            </a:r>
          </a:p>
        </c:rich>
      </c:tx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195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956808948072027E-2"/>
                  <c:y val="-0.1809328521434820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118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220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195</c:v>
                </c:pt>
                <c:pt idx="1">
                  <c:v>17</c:v>
                </c:pt>
                <c:pt idx="2">
                  <c:v>204</c:v>
                </c:pt>
                <c:pt idx="3">
                  <c:v>118</c:v>
                </c:pt>
                <c:pt idx="4">
                  <c:v>220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http://10.0.0.224:8080/ips/df/all_appeals_count.jsp?fromDate=2017-01-09&amp;toDate=2017-12-31&amp;rsnPartId=80&amp;xls=yes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ИТ</c:v>
                </c:pt>
                <c:pt idx="4">
                  <c:v>Вопросы административного характера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</a:t>
            </a:r>
            <a:r>
              <a:rPr lang="ru-RU" sz="1400" baseline="0"/>
              <a:t> рассмотрения обращений граждан и юридических лиц за 4 квартал 2017 года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402E-2"/>
          <c:y val="0.32069735429793439"/>
          <c:w val="0.61548993007537689"/>
          <c:h val="0.57298457630937538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147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213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217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4804725125593955E-2"/>
                  <c:y val="-6.29695702099737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111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Лист1!$B$17:$B$26</c:f>
              <c:strCache>
                <c:ptCount val="10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Принято к сведению</c:v>
                </c:pt>
                <c:pt idx="6">
                  <c:v>На рассмотрении</c:v>
                </c:pt>
                <c:pt idx="7">
                  <c:v>Направлено в ТО</c:v>
                </c:pt>
                <c:pt idx="8">
                  <c:v>Направлено в ЦА</c:v>
                </c:pt>
                <c:pt idx="9">
                  <c:v>Переписка прекращена</c:v>
                </c:pt>
              </c:strCache>
            </c:strRef>
          </c:cat>
          <c:val>
            <c:numRef>
              <c:f>Лист1!$C$17:$C$26</c:f>
              <c:numCache>
                <c:formatCode>General</c:formatCode>
                <c:ptCount val="10"/>
                <c:pt idx="0">
                  <c:v>147</c:v>
                </c:pt>
                <c:pt idx="1">
                  <c:v>213</c:v>
                </c:pt>
                <c:pt idx="2">
                  <c:v>60</c:v>
                </c:pt>
                <c:pt idx="3">
                  <c:v>217</c:v>
                </c:pt>
                <c:pt idx="4">
                  <c:v>1</c:v>
                </c:pt>
                <c:pt idx="5">
                  <c:v>2</c:v>
                </c:pt>
                <c:pt idx="6">
                  <c:v>111</c:v>
                </c:pt>
                <c:pt idx="7">
                  <c:v>0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946068903549239"/>
          <c:y val="0.17396546484321038"/>
          <c:w val="0.30612489655009351"/>
          <c:h val="0.7883005940046967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Елена Ю. Паршукова</cp:lastModifiedBy>
  <cp:revision>29</cp:revision>
  <cp:lastPrinted>2016-10-05T07:55:00Z</cp:lastPrinted>
  <dcterms:created xsi:type="dcterms:W3CDTF">2017-04-05T11:10:00Z</dcterms:created>
  <dcterms:modified xsi:type="dcterms:W3CDTF">2018-01-10T12:36:00Z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