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6" w:rsidRDefault="00A37546" w:rsidP="00A37546">
      <w:pPr>
        <w:tabs>
          <w:tab w:val="left" w:pos="567"/>
          <w:tab w:val="left" w:pos="1359"/>
          <w:tab w:val="center" w:pos="5173"/>
        </w:tabs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 w:rsidRPr="00A37546">
        <w:rPr>
          <w:rFonts w:eastAsia="Calibri"/>
          <w:b/>
          <w:szCs w:val="28"/>
          <w:lang w:eastAsia="en-US"/>
        </w:rPr>
        <w:t>Отчет об итогах работы с обращениями граждан</w:t>
      </w:r>
    </w:p>
    <w:p w:rsidR="00A37546" w:rsidRDefault="00A37546" w:rsidP="00A37546">
      <w:pPr>
        <w:tabs>
          <w:tab w:val="left" w:pos="2732"/>
          <w:tab w:val="center" w:pos="5173"/>
        </w:tabs>
        <w:ind w:firstLine="709"/>
        <w:rPr>
          <w:szCs w:val="28"/>
        </w:rPr>
      </w:pPr>
      <w:r>
        <w:rPr>
          <w:rFonts w:eastAsia="Calibri"/>
          <w:b/>
          <w:szCs w:val="28"/>
          <w:lang w:eastAsia="en-US"/>
        </w:rPr>
        <w:tab/>
        <w:t xml:space="preserve">    </w:t>
      </w:r>
      <w:r w:rsidR="00D028ED">
        <w:rPr>
          <w:rFonts w:eastAsia="Calibri"/>
          <w:b/>
          <w:szCs w:val="28"/>
          <w:lang w:eastAsia="en-US"/>
        </w:rPr>
        <w:t>в</w:t>
      </w:r>
      <w:r w:rsidRPr="00A37546">
        <w:rPr>
          <w:rFonts w:eastAsia="Calibri"/>
          <w:b/>
          <w:szCs w:val="28"/>
          <w:lang w:eastAsia="en-US"/>
        </w:rPr>
        <w:t xml:space="preserve"> </w:t>
      </w:r>
      <w:r w:rsidR="00C07C9D">
        <w:rPr>
          <w:rFonts w:eastAsia="Calibri"/>
          <w:b/>
          <w:szCs w:val="28"/>
          <w:lang w:eastAsia="en-US"/>
        </w:rPr>
        <w:t>1</w:t>
      </w:r>
      <w:r w:rsidRPr="00A37546">
        <w:rPr>
          <w:rFonts w:eastAsia="Calibri"/>
          <w:b/>
          <w:szCs w:val="28"/>
          <w:lang w:eastAsia="en-US"/>
        </w:rPr>
        <w:t xml:space="preserve"> квартале 201</w:t>
      </w:r>
      <w:r w:rsidR="00C07C9D">
        <w:rPr>
          <w:rFonts w:eastAsia="Calibri"/>
          <w:b/>
          <w:szCs w:val="28"/>
          <w:lang w:eastAsia="en-US"/>
        </w:rPr>
        <w:t>6</w:t>
      </w:r>
      <w:r w:rsidRPr="00A37546">
        <w:rPr>
          <w:rFonts w:eastAsia="Calibri"/>
          <w:b/>
          <w:szCs w:val="28"/>
          <w:lang w:eastAsia="en-US"/>
        </w:rPr>
        <w:t xml:space="preserve"> года</w:t>
      </w:r>
    </w:p>
    <w:p w:rsidR="00A37546" w:rsidRDefault="00A37546" w:rsidP="00352B76">
      <w:pPr>
        <w:jc w:val="both"/>
        <w:rPr>
          <w:szCs w:val="28"/>
        </w:rPr>
      </w:pPr>
    </w:p>
    <w:p w:rsidR="003C6E91" w:rsidRPr="00D64C8D" w:rsidRDefault="00327409" w:rsidP="00262AF2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855342">
        <w:rPr>
          <w:szCs w:val="28"/>
        </w:rPr>
        <w:t>о</w:t>
      </w:r>
      <w:r w:rsidR="003C6E91">
        <w:rPr>
          <w:szCs w:val="28"/>
        </w:rPr>
        <w:t xml:space="preserve"> </w:t>
      </w:r>
      <w:r w:rsidR="00855342">
        <w:rPr>
          <w:szCs w:val="28"/>
        </w:rPr>
        <w:t>2</w:t>
      </w:r>
      <w:r w:rsidR="003C6E91">
        <w:rPr>
          <w:szCs w:val="28"/>
        </w:rPr>
        <w:t xml:space="preserve"> квартале </w:t>
      </w:r>
      <w:r w:rsidR="003C6E91" w:rsidRPr="00D64C8D">
        <w:rPr>
          <w:szCs w:val="28"/>
        </w:rPr>
        <w:t>201</w:t>
      </w:r>
      <w:r w:rsidR="00C07C9D">
        <w:rPr>
          <w:szCs w:val="28"/>
        </w:rPr>
        <w:t>6</w:t>
      </w:r>
      <w:r w:rsidR="003C6E91" w:rsidRPr="00D64C8D">
        <w:rPr>
          <w:szCs w:val="28"/>
        </w:rPr>
        <w:t xml:space="preserve"> г. в Управление поступило </w:t>
      </w:r>
      <w:r w:rsidR="00D40ED2">
        <w:rPr>
          <w:szCs w:val="28"/>
        </w:rPr>
        <w:t>3</w:t>
      </w:r>
      <w:r w:rsidR="00855342">
        <w:rPr>
          <w:szCs w:val="28"/>
        </w:rPr>
        <w:t>03</w:t>
      </w:r>
      <w:r w:rsidR="003C6E91" w:rsidRPr="00D64C8D">
        <w:rPr>
          <w:szCs w:val="28"/>
        </w:rPr>
        <w:t xml:space="preserve"> обращени</w:t>
      </w:r>
      <w:r w:rsidR="00E904E8">
        <w:rPr>
          <w:szCs w:val="28"/>
        </w:rPr>
        <w:t>я</w:t>
      </w:r>
      <w:r w:rsidR="003C6E91" w:rsidRPr="00D64C8D">
        <w:rPr>
          <w:szCs w:val="28"/>
        </w:rPr>
        <w:t xml:space="preserve"> 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3C6E91">
        <w:rPr>
          <w:szCs w:val="28"/>
        </w:rPr>
        <w:t>.</w:t>
      </w:r>
    </w:p>
    <w:p w:rsidR="003C6E91" w:rsidRDefault="003C6E91" w:rsidP="00352B76">
      <w:pPr>
        <w:ind w:firstLine="708"/>
        <w:jc w:val="both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A37546" w:rsidP="00352B76">
      <w:pPr>
        <w:ind w:firstLine="708"/>
        <w:jc w:val="both"/>
        <w:rPr>
          <w:szCs w:val="28"/>
        </w:rPr>
      </w:pPr>
    </w:p>
    <w:p w:rsidR="003C6E91" w:rsidRDefault="003C6E91" w:rsidP="003C6E91">
      <w:pPr>
        <w:rPr>
          <w:szCs w:val="28"/>
        </w:rPr>
      </w:pPr>
      <w:r>
        <w:rPr>
          <w:noProof/>
          <w:szCs w:val="28"/>
        </w:rPr>
        <w:drawing>
          <wp:inline distT="0" distB="0" distL="0" distR="0" wp14:anchorId="6DE85FAD" wp14:editId="06AB596D">
            <wp:extent cx="5557962" cy="3514477"/>
            <wp:effectExtent l="0" t="0" r="24130" b="1016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6E91" w:rsidRDefault="003C6E91" w:rsidP="003C6E91">
      <w:pPr>
        <w:rPr>
          <w:szCs w:val="28"/>
        </w:rPr>
      </w:pPr>
    </w:p>
    <w:p w:rsidR="00A37546" w:rsidRDefault="00A37546" w:rsidP="003C6E91">
      <w:pPr>
        <w:ind w:firstLine="708"/>
        <w:rPr>
          <w:szCs w:val="28"/>
        </w:rPr>
      </w:pPr>
    </w:p>
    <w:p w:rsidR="003C6E91" w:rsidRPr="007D05F3" w:rsidRDefault="003C6E91" w:rsidP="003C6E91">
      <w:pPr>
        <w:ind w:firstLine="708"/>
        <w:rPr>
          <w:szCs w:val="28"/>
        </w:rPr>
      </w:pPr>
      <w:r w:rsidRPr="007D05F3">
        <w:rPr>
          <w:szCs w:val="28"/>
        </w:rPr>
        <w:t>Сравнительный анализ поступивших в</w:t>
      </w:r>
      <w:r w:rsidR="00855342">
        <w:rPr>
          <w:szCs w:val="28"/>
        </w:rPr>
        <w:t>о</w:t>
      </w:r>
      <w:r w:rsidR="0092585E">
        <w:rPr>
          <w:szCs w:val="28"/>
        </w:rPr>
        <w:t xml:space="preserve"> </w:t>
      </w:r>
      <w:r w:rsidR="00855342">
        <w:rPr>
          <w:szCs w:val="28"/>
        </w:rPr>
        <w:t>2</w:t>
      </w:r>
      <w:r w:rsidRPr="007D05F3">
        <w:rPr>
          <w:szCs w:val="28"/>
        </w:rPr>
        <w:t xml:space="preserve"> квартале обращений граждан показывает следующее:</w:t>
      </w:r>
    </w:p>
    <w:p w:rsidR="003C6E91" w:rsidRPr="007D05F3" w:rsidRDefault="00AA5ABA" w:rsidP="003C6E91">
      <w:pPr>
        <w:rPr>
          <w:szCs w:val="28"/>
        </w:rPr>
      </w:pPr>
      <w:r>
        <w:rPr>
          <w:szCs w:val="28"/>
        </w:rPr>
        <w:t xml:space="preserve">- </w:t>
      </w:r>
      <w:r w:rsidR="00E904E8">
        <w:rPr>
          <w:szCs w:val="28"/>
        </w:rPr>
        <w:t>26,4</w:t>
      </w:r>
      <w:r w:rsidR="003C6E91">
        <w:rPr>
          <w:szCs w:val="28"/>
        </w:rPr>
        <w:t xml:space="preserve"> </w:t>
      </w:r>
      <w:r w:rsidR="003C6E91" w:rsidRPr="007D05F3">
        <w:rPr>
          <w:szCs w:val="28"/>
        </w:rPr>
        <w:t>% обращений</w:t>
      </w:r>
      <w:r w:rsidR="00F849EC">
        <w:rPr>
          <w:szCs w:val="28"/>
        </w:rPr>
        <w:t xml:space="preserve"> относи</w:t>
      </w:r>
      <w:r>
        <w:rPr>
          <w:szCs w:val="28"/>
        </w:rPr>
        <w:t>тся к сфере связи</w:t>
      </w:r>
      <w:r w:rsidR="003C6E91" w:rsidRPr="007D05F3">
        <w:rPr>
          <w:szCs w:val="28"/>
        </w:rPr>
        <w:t>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FF3E37">
        <w:rPr>
          <w:szCs w:val="28"/>
        </w:rPr>
        <w:t>4</w:t>
      </w:r>
      <w:r w:rsidR="00A44D13">
        <w:rPr>
          <w:szCs w:val="28"/>
        </w:rPr>
        <w:t>7</w:t>
      </w:r>
      <w:r w:rsidR="009870F4">
        <w:rPr>
          <w:szCs w:val="28"/>
        </w:rPr>
        <w:t>,</w:t>
      </w:r>
      <w:r w:rsidR="00A44D13">
        <w:rPr>
          <w:szCs w:val="28"/>
        </w:rPr>
        <w:t>2</w:t>
      </w:r>
      <w:r>
        <w:rPr>
          <w:szCs w:val="28"/>
        </w:rPr>
        <w:t xml:space="preserve"> </w:t>
      </w:r>
      <w:r w:rsidRPr="007D05F3">
        <w:rPr>
          <w:szCs w:val="28"/>
        </w:rPr>
        <w:t>% обращений – по вопросам обработки персональных данных.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A44D13">
        <w:rPr>
          <w:szCs w:val="28"/>
        </w:rPr>
        <w:t>9</w:t>
      </w:r>
      <w:r w:rsidR="0046115F">
        <w:rPr>
          <w:szCs w:val="28"/>
        </w:rPr>
        <w:t>,</w:t>
      </w:r>
      <w:r w:rsidR="00E904E8">
        <w:rPr>
          <w:szCs w:val="28"/>
        </w:rPr>
        <w:t>5</w:t>
      </w:r>
      <w:r>
        <w:rPr>
          <w:szCs w:val="28"/>
        </w:rPr>
        <w:t xml:space="preserve"> </w:t>
      </w:r>
      <w:r w:rsidRPr="007D05F3">
        <w:rPr>
          <w:szCs w:val="28"/>
        </w:rPr>
        <w:t>% обращений  относятся к сфере  средств массовой информации;</w:t>
      </w:r>
    </w:p>
    <w:p w:rsidR="003C6E91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E904E8">
        <w:rPr>
          <w:szCs w:val="28"/>
        </w:rPr>
        <w:t>11,9</w:t>
      </w:r>
      <w:r w:rsidRPr="007D05F3">
        <w:rPr>
          <w:szCs w:val="28"/>
        </w:rPr>
        <w:t xml:space="preserve"> % обращений – </w:t>
      </w:r>
      <w:r w:rsidR="00E904E8">
        <w:rPr>
          <w:szCs w:val="28"/>
        </w:rPr>
        <w:t>Интернет и информационные технологии;</w:t>
      </w:r>
    </w:p>
    <w:p w:rsidR="00E904E8" w:rsidRDefault="00E904E8" w:rsidP="003C6E91">
      <w:pPr>
        <w:rPr>
          <w:szCs w:val="28"/>
        </w:rPr>
      </w:pPr>
      <w:r>
        <w:rPr>
          <w:szCs w:val="28"/>
        </w:rPr>
        <w:t xml:space="preserve">-  5% обращений </w:t>
      </w:r>
      <w:r w:rsidRPr="007D05F3">
        <w:rPr>
          <w:szCs w:val="28"/>
        </w:rPr>
        <w:t>–</w:t>
      </w:r>
      <w:r>
        <w:rPr>
          <w:szCs w:val="28"/>
        </w:rPr>
        <w:t xml:space="preserve"> вопросы административного характера.</w:t>
      </w:r>
    </w:p>
    <w:p w:rsidR="00A37546" w:rsidRDefault="00A37546" w:rsidP="003C6E91">
      <w:pPr>
        <w:rPr>
          <w:szCs w:val="28"/>
        </w:rPr>
      </w:pPr>
    </w:p>
    <w:p w:rsidR="00AF7F56" w:rsidRDefault="00A37546" w:rsidP="003C6E91">
      <w:pPr>
        <w:rPr>
          <w:szCs w:val="28"/>
        </w:rPr>
      </w:pPr>
      <w:r w:rsidRPr="00A37546">
        <w:rPr>
          <w:szCs w:val="28"/>
        </w:rPr>
        <w:lastRenderedPageBreak/>
        <w:t>Результаты рассмотрения обращений граждан в</w:t>
      </w:r>
      <w:r w:rsidR="00DE7E54">
        <w:rPr>
          <w:szCs w:val="28"/>
        </w:rPr>
        <w:t>о</w:t>
      </w:r>
      <w:r w:rsidRPr="00A37546">
        <w:rPr>
          <w:szCs w:val="28"/>
        </w:rPr>
        <w:t xml:space="preserve"> </w:t>
      </w:r>
      <w:r w:rsidR="00DE7E54">
        <w:rPr>
          <w:szCs w:val="28"/>
        </w:rPr>
        <w:t>2</w:t>
      </w:r>
      <w:r w:rsidRPr="00A37546">
        <w:rPr>
          <w:szCs w:val="28"/>
        </w:rPr>
        <w:t xml:space="preserve"> квартале 201</w:t>
      </w:r>
      <w:r w:rsidR="008C1903">
        <w:rPr>
          <w:szCs w:val="28"/>
        </w:rPr>
        <w:t>6</w:t>
      </w:r>
      <w:r w:rsidRPr="00A37546">
        <w:rPr>
          <w:szCs w:val="28"/>
        </w:rPr>
        <w:t xml:space="preserve"> года:</w:t>
      </w:r>
      <w:r w:rsidR="00AF7F56">
        <w:rPr>
          <w:noProof/>
        </w:rPr>
        <w:drawing>
          <wp:inline distT="0" distB="0" distL="0" distR="0" wp14:anchorId="63109503" wp14:editId="0E316F35">
            <wp:extent cx="5589767" cy="2441051"/>
            <wp:effectExtent l="0" t="0" r="11430" b="1651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7F56" w:rsidRDefault="00AF7F56" w:rsidP="003C6E91">
      <w:pPr>
        <w:rPr>
          <w:szCs w:val="28"/>
        </w:rPr>
      </w:pPr>
    </w:p>
    <w:p w:rsidR="00AF7F56" w:rsidRPr="00D64C8D" w:rsidRDefault="00AF7F56" w:rsidP="003C6E91">
      <w:pPr>
        <w:rPr>
          <w:szCs w:val="28"/>
        </w:rPr>
      </w:pPr>
    </w:p>
    <w:p w:rsidR="003C6E91" w:rsidRDefault="003C6E91" w:rsidP="00FC6EBB">
      <w:pPr>
        <w:ind w:firstLine="708"/>
        <w:rPr>
          <w:szCs w:val="28"/>
        </w:rPr>
      </w:pPr>
      <w:r w:rsidRPr="00D64C8D">
        <w:rPr>
          <w:szCs w:val="28"/>
        </w:rPr>
        <w:t>По результатам рассмот</w:t>
      </w:r>
      <w:bookmarkStart w:id="0" w:name="_GoBack"/>
      <w:bookmarkEnd w:id="0"/>
      <w:r w:rsidRPr="00D64C8D">
        <w:rPr>
          <w:szCs w:val="28"/>
        </w:rPr>
        <w:t>рения обращений, поступивших в</w:t>
      </w:r>
      <w:r w:rsidR="008B0E41">
        <w:rPr>
          <w:szCs w:val="28"/>
        </w:rPr>
        <w:t>о</w:t>
      </w:r>
      <w:r>
        <w:rPr>
          <w:szCs w:val="28"/>
        </w:rPr>
        <w:t xml:space="preserve"> </w:t>
      </w:r>
      <w:r w:rsidR="008B0E41">
        <w:rPr>
          <w:szCs w:val="28"/>
        </w:rPr>
        <w:t>2</w:t>
      </w:r>
      <w:r>
        <w:rPr>
          <w:szCs w:val="28"/>
        </w:rPr>
        <w:t xml:space="preserve"> квартале</w:t>
      </w:r>
      <w:r w:rsidRPr="00D64C8D">
        <w:rPr>
          <w:szCs w:val="28"/>
        </w:rPr>
        <w:t xml:space="preserve"> 201</w:t>
      </w:r>
      <w:r w:rsidR="008C1903">
        <w:rPr>
          <w:szCs w:val="28"/>
        </w:rPr>
        <w:t>6</w:t>
      </w:r>
      <w:r>
        <w:rPr>
          <w:szCs w:val="28"/>
        </w:rPr>
        <w:t xml:space="preserve"> года</w:t>
      </w:r>
      <w:r w:rsidRPr="00D64C8D">
        <w:rPr>
          <w:szCs w:val="28"/>
        </w:rPr>
        <w:t xml:space="preserve">, </w:t>
      </w:r>
      <w:r w:rsidR="00FC6EBB">
        <w:rPr>
          <w:szCs w:val="28"/>
        </w:rPr>
        <w:t>м</w:t>
      </w:r>
      <w:r w:rsidRPr="00774B53">
        <w:rPr>
          <w:szCs w:val="28"/>
        </w:rPr>
        <w:t xml:space="preserve">атериалы рассмотрения </w:t>
      </w:r>
      <w:r w:rsidR="00092029">
        <w:rPr>
          <w:szCs w:val="28"/>
        </w:rPr>
        <w:t>10</w:t>
      </w:r>
      <w:r>
        <w:rPr>
          <w:szCs w:val="28"/>
        </w:rPr>
        <w:t xml:space="preserve"> </w:t>
      </w:r>
      <w:r w:rsidRPr="00774B53">
        <w:rPr>
          <w:szCs w:val="28"/>
        </w:rPr>
        <w:t>обращений направлены в прокуратуру для принятия мер прокурорского реагирования</w:t>
      </w:r>
      <w:r w:rsidR="00BC2B4F">
        <w:rPr>
          <w:szCs w:val="28"/>
        </w:rPr>
        <w:t>.</w:t>
      </w:r>
    </w:p>
    <w:p w:rsidR="00F546F8" w:rsidRPr="003C6E91" w:rsidRDefault="00F546F8" w:rsidP="003C6E91"/>
    <w:sectPr w:rsidR="00F546F8" w:rsidRPr="003C6E91" w:rsidSect="00D34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B8" w:rsidRDefault="00A048B8">
      <w:r>
        <w:separator/>
      </w:r>
    </w:p>
  </w:endnote>
  <w:endnote w:type="continuationSeparator" w:id="0">
    <w:p w:rsidR="00A048B8" w:rsidRDefault="00A0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E" w:rsidRPr="005D7706" w:rsidRDefault="00D3497E" w:rsidP="005D7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B8" w:rsidRDefault="00A048B8">
      <w:r>
        <w:separator/>
      </w:r>
    </w:p>
  </w:footnote>
  <w:footnote w:type="continuationSeparator" w:id="0">
    <w:p w:rsidR="00A048B8" w:rsidRDefault="00A04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3497E" w:rsidRPr="00D80E53" w:rsidRDefault="0053797C" w:rsidP="00D3497E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D2290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4304"/>
    <w:rsid w:val="00045E7B"/>
    <w:rsid w:val="00046824"/>
    <w:rsid w:val="000802F8"/>
    <w:rsid w:val="00081377"/>
    <w:rsid w:val="00092029"/>
    <w:rsid w:val="00092E39"/>
    <w:rsid w:val="000A3C11"/>
    <w:rsid w:val="000C2A1A"/>
    <w:rsid w:val="00102019"/>
    <w:rsid w:val="001163AC"/>
    <w:rsid w:val="0013455B"/>
    <w:rsid w:val="00176D66"/>
    <w:rsid w:val="00190EB9"/>
    <w:rsid w:val="001A7CE1"/>
    <w:rsid w:val="00202F48"/>
    <w:rsid w:val="002558A6"/>
    <w:rsid w:val="00262AF2"/>
    <w:rsid w:val="00293B6F"/>
    <w:rsid w:val="002D071C"/>
    <w:rsid w:val="002D3E4F"/>
    <w:rsid w:val="002D74C2"/>
    <w:rsid w:val="00327409"/>
    <w:rsid w:val="00352B76"/>
    <w:rsid w:val="00383B52"/>
    <w:rsid w:val="003C6E91"/>
    <w:rsid w:val="00406F34"/>
    <w:rsid w:val="00411E98"/>
    <w:rsid w:val="00435B88"/>
    <w:rsid w:val="004558B9"/>
    <w:rsid w:val="00460C07"/>
    <w:rsid w:val="0046115F"/>
    <w:rsid w:val="004748C6"/>
    <w:rsid w:val="00492B7C"/>
    <w:rsid w:val="00494AD7"/>
    <w:rsid w:val="004B0EE3"/>
    <w:rsid w:val="004C2F0C"/>
    <w:rsid w:val="00503909"/>
    <w:rsid w:val="00515048"/>
    <w:rsid w:val="00521164"/>
    <w:rsid w:val="00536807"/>
    <w:rsid w:val="0053797C"/>
    <w:rsid w:val="00543269"/>
    <w:rsid w:val="00557A22"/>
    <w:rsid w:val="00586F56"/>
    <w:rsid w:val="00587E50"/>
    <w:rsid w:val="00592E8E"/>
    <w:rsid w:val="00596B0C"/>
    <w:rsid w:val="005D2F6A"/>
    <w:rsid w:val="005D7706"/>
    <w:rsid w:val="005E1719"/>
    <w:rsid w:val="005F0988"/>
    <w:rsid w:val="005F3886"/>
    <w:rsid w:val="00600766"/>
    <w:rsid w:val="00631A9F"/>
    <w:rsid w:val="00644B0A"/>
    <w:rsid w:val="0068123A"/>
    <w:rsid w:val="00693CD9"/>
    <w:rsid w:val="006B3276"/>
    <w:rsid w:val="006C551A"/>
    <w:rsid w:val="006E6BD1"/>
    <w:rsid w:val="007718C9"/>
    <w:rsid w:val="007C78B4"/>
    <w:rsid w:val="00813CF5"/>
    <w:rsid w:val="0082360F"/>
    <w:rsid w:val="00855342"/>
    <w:rsid w:val="008B0E41"/>
    <w:rsid w:val="008C1903"/>
    <w:rsid w:val="00911120"/>
    <w:rsid w:val="009163D3"/>
    <w:rsid w:val="009167CD"/>
    <w:rsid w:val="0092585E"/>
    <w:rsid w:val="00932123"/>
    <w:rsid w:val="00971B19"/>
    <w:rsid w:val="009870F4"/>
    <w:rsid w:val="00997B1E"/>
    <w:rsid w:val="009B576D"/>
    <w:rsid w:val="009D0AF6"/>
    <w:rsid w:val="009D3E76"/>
    <w:rsid w:val="009E365C"/>
    <w:rsid w:val="009F30D9"/>
    <w:rsid w:val="009F4E25"/>
    <w:rsid w:val="009F61C9"/>
    <w:rsid w:val="00A048B8"/>
    <w:rsid w:val="00A37546"/>
    <w:rsid w:val="00A44D13"/>
    <w:rsid w:val="00A4738D"/>
    <w:rsid w:val="00A8027E"/>
    <w:rsid w:val="00A86756"/>
    <w:rsid w:val="00AA5ABA"/>
    <w:rsid w:val="00AB3598"/>
    <w:rsid w:val="00AC0E0D"/>
    <w:rsid w:val="00AC615B"/>
    <w:rsid w:val="00AD0D1F"/>
    <w:rsid w:val="00AF7F56"/>
    <w:rsid w:val="00B2103B"/>
    <w:rsid w:val="00B960BD"/>
    <w:rsid w:val="00BC2B4F"/>
    <w:rsid w:val="00BD378B"/>
    <w:rsid w:val="00C04097"/>
    <w:rsid w:val="00C07C9D"/>
    <w:rsid w:val="00C2374C"/>
    <w:rsid w:val="00C257F3"/>
    <w:rsid w:val="00C4305E"/>
    <w:rsid w:val="00C72C4C"/>
    <w:rsid w:val="00C84A83"/>
    <w:rsid w:val="00CB4565"/>
    <w:rsid w:val="00CB58C7"/>
    <w:rsid w:val="00CB5A53"/>
    <w:rsid w:val="00CF4723"/>
    <w:rsid w:val="00D028ED"/>
    <w:rsid w:val="00D22906"/>
    <w:rsid w:val="00D3497E"/>
    <w:rsid w:val="00D40ED2"/>
    <w:rsid w:val="00D65FC9"/>
    <w:rsid w:val="00DA7229"/>
    <w:rsid w:val="00DB2B76"/>
    <w:rsid w:val="00DE2002"/>
    <w:rsid w:val="00DE7E54"/>
    <w:rsid w:val="00E14A67"/>
    <w:rsid w:val="00E319E5"/>
    <w:rsid w:val="00E34FF1"/>
    <w:rsid w:val="00E646E2"/>
    <w:rsid w:val="00E904E8"/>
    <w:rsid w:val="00E9316C"/>
    <w:rsid w:val="00EB7D2D"/>
    <w:rsid w:val="00F029BC"/>
    <w:rsid w:val="00F44C6E"/>
    <w:rsid w:val="00F46208"/>
    <w:rsid w:val="00F546F8"/>
    <w:rsid w:val="00F7170E"/>
    <w:rsid w:val="00F849EC"/>
    <w:rsid w:val="00FA1BC6"/>
    <w:rsid w:val="00FA466C"/>
    <w:rsid w:val="00FC6EBB"/>
    <w:rsid w:val="00FD5FDE"/>
    <w:rsid w:val="00F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2016 г.</a:t>
            </a:r>
          </a:p>
        </c:rich>
      </c:tx>
      <c:layout/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2013 г.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80</c:v>
                </c:pt>
                <c:pt idx="1">
                  <c:v>29</c:v>
                </c:pt>
                <c:pt idx="2">
                  <c:v>143</c:v>
                </c:pt>
                <c:pt idx="3">
                  <c:v>36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388E-2"/>
          <c:y val="0.32069735429793439"/>
          <c:w val="0.61548993007537667"/>
          <c:h val="0.57298457630937505"/>
        </c:manualLayout>
      </c:layout>
      <c:pie3DChart>
        <c:varyColors val="1"/>
        <c:ser>
          <c:idx val="0"/>
          <c:order val="0"/>
          <c:tx>
            <c:strRef>
              <c:f>Лист1!$C$15:$C$16</c:f>
              <c:strCache>
                <c:ptCount val="1"/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Лист1!$B$17:$B$24</c:f>
              <c:strCache>
                <c:ptCount val="7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Отозвано</c:v>
                </c:pt>
                <c:pt idx="5">
                  <c:v>На рассмотрении</c:v>
                </c:pt>
                <c:pt idx="6">
                  <c:v>Принято к сведению</c:v>
                </c:pt>
              </c:strCache>
            </c:strRef>
          </c:cat>
          <c:val>
            <c:numRef>
              <c:f>Лист1!$C$17:$C$24</c:f>
              <c:numCache>
                <c:formatCode>General</c:formatCode>
                <c:ptCount val="8"/>
                <c:pt idx="0">
                  <c:v>95</c:v>
                </c:pt>
                <c:pt idx="1">
                  <c:v>12</c:v>
                </c:pt>
                <c:pt idx="2">
                  <c:v>46</c:v>
                </c:pt>
                <c:pt idx="3">
                  <c:v>77</c:v>
                </c:pt>
                <c:pt idx="4">
                  <c:v>2</c:v>
                </c:pt>
                <c:pt idx="5">
                  <c:v>70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946068903549217"/>
          <c:y val="0.11357429620362873"/>
          <c:w val="0.30612489655009339"/>
          <c:h val="0.85129499291256649"/>
        </c:manualLayout>
      </c:layout>
      <c:overlay val="0"/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Надежда А. Терехова</cp:lastModifiedBy>
  <cp:revision>9</cp:revision>
  <cp:lastPrinted>2014-10-02T03:13:00Z</cp:lastPrinted>
  <dcterms:created xsi:type="dcterms:W3CDTF">2016-07-04T10:28:00Z</dcterms:created>
  <dcterms:modified xsi:type="dcterms:W3CDTF">2017-01-16T04:08:00Z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